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5B60" w14:textId="471CAE94" w:rsidR="00986882" w:rsidRPr="00DE64C0" w:rsidRDefault="005A7022" w:rsidP="00E0338F">
      <w:pPr>
        <w:spacing w:after="271"/>
        <w:ind w:left="1189"/>
        <w:rPr>
          <w:rFonts w:ascii="Arial" w:hAnsi="Arial" w:cs="Arial"/>
          <w:sz w:val="24"/>
          <w:szCs w:val="24"/>
        </w:rPr>
      </w:pPr>
      <w:r>
        <w:rPr>
          <w:rFonts w:ascii="Arial" w:eastAsia="Maiandra GD" w:hAnsi="Arial" w:cs="Arial"/>
          <w:sz w:val="24"/>
          <w:szCs w:val="24"/>
        </w:rPr>
        <w:t>)</w:t>
      </w:r>
      <w:r w:rsidR="00E77D34" w:rsidRPr="00DE64C0">
        <w:rPr>
          <w:rFonts w:ascii="Arial" w:eastAsia="Maiandra GD" w:hAnsi="Arial" w:cs="Arial"/>
          <w:sz w:val="24"/>
          <w:szCs w:val="24"/>
        </w:rPr>
        <w:t xml:space="preserve"> </w:t>
      </w:r>
    </w:p>
    <w:p w14:paraId="776A3C5A" w14:textId="77777777" w:rsidR="00986882" w:rsidRPr="00DE64C0" w:rsidRDefault="00E77D34">
      <w:pPr>
        <w:ind w:left="1262"/>
        <w:jc w:val="center"/>
        <w:rPr>
          <w:rFonts w:ascii="Arial" w:hAnsi="Arial" w:cs="Arial"/>
          <w:sz w:val="24"/>
          <w:szCs w:val="24"/>
        </w:rPr>
      </w:pPr>
      <w:r w:rsidRPr="00DE64C0">
        <w:rPr>
          <w:rFonts w:ascii="Arial" w:hAnsi="Arial" w:cs="Arial"/>
          <w:noProof/>
          <w:sz w:val="24"/>
          <w:szCs w:val="24"/>
        </w:rPr>
        <w:drawing>
          <wp:inline distT="0" distB="0" distL="0" distR="0" wp14:anchorId="0D9B38E6" wp14:editId="16E29744">
            <wp:extent cx="1196340" cy="1021080"/>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7"/>
                    <a:stretch>
                      <a:fillRect/>
                    </a:stretch>
                  </pic:blipFill>
                  <pic:spPr>
                    <a:xfrm>
                      <a:off x="0" y="0"/>
                      <a:ext cx="1196340" cy="1021080"/>
                    </a:xfrm>
                    <a:prstGeom prst="rect">
                      <a:avLst/>
                    </a:prstGeom>
                  </pic:spPr>
                </pic:pic>
              </a:graphicData>
            </a:graphic>
          </wp:inline>
        </w:drawing>
      </w:r>
      <w:r w:rsidRPr="00DE64C0">
        <w:rPr>
          <w:rFonts w:ascii="Arial" w:eastAsia="Maiandra GD" w:hAnsi="Arial" w:cs="Arial"/>
          <w:sz w:val="24"/>
          <w:szCs w:val="24"/>
        </w:rPr>
        <w:t xml:space="preserve"> </w:t>
      </w:r>
    </w:p>
    <w:p w14:paraId="087779B7" w14:textId="77777777" w:rsidR="0026279D" w:rsidRPr="00DE64C0" w:rsidRDefault="0026279D" w:rsidP="000B0CA2">
      <w:pPr>
        <w:ind w:left="2683" w:hanging="10"/>
        <w:jc w:val="center"/>
        <w:rPr>
          <w:rFonts w:ascii="Arial" w:eastAsia="Maiandra GD" w:hAnsi="Arial" w:cs="Arial"/>
          <w:sz w:val="24"/>
          <w:szCs w:val="24"/>
        </w:rPr>
      </w:pPr>
    </w:p>
    <w:p w14:paraId="54564F0C" w14:textId="4332FA98" w:rsidR="00986882" w:rsidRPr="00DE64C0" w:rsidRDefault="00E77D34" w:rsidP="000B0CA2">
      <w:pPr>
        <w:ind w:left="2683" w:hanging="10"/>
        <w:jc w:val="center"/>
        <w:rPr>
          <w:rFonts w:ascii="Arial" w:hAnsi="Arial" w:cs="Arial"/>
          <w:sz w:val="24"/>
          <w:szCs w:val="24"/>
        </w:rPr>
      </w:pPr>
      <w:r w:rsidRPr="00DE64C0">
        <w:rPr>
          <w:rFonts w:ascii="Arial" w:eastAsia="Maiandra GD" w:hAnsi="Arial" w:cs="Arial"/>
          <w:sz w:val="24"/>
          <w:szCs w:val="24"/>
        </w:rPr>
        <w:t>SADC SECRETARIAT RESPONSES TO REQUESTS FOR CLARIFICATIONS</w:t>
      </w:r>
    </w:p>
    <w:p w14:paraId="0E23547B" w14:textId="15C468DF" w:rsidR="00986882" w:rsidRPr="00DE64C0" w:rsidRDefault="00986882" w:rsidP="000B0CA2">
      <w:pPr>
        <w:ind w:left="1265"/>
        <w:jc w:val="center"/>
        <w:rPr>
          <w:rFonts w:ascii="Arial" w:hAnsi="Arial" w:cs="Arial"/>
          <w:b/>
          <w:bCs/>
          <w:sz w:val="24"/>
          <w:szCs w:val="24"/>
        </w:rPr>
      </w:pPr>
    </w:p>
    <w:p w14:paraId="73F0395A" w14:textId="4B57D438" w:rsidR="002B52EF" w:rsidRPr="00DE64C0" w:rsidRDefault="00BE7451" w:rsidP="000B0CA2">
      <w:pPr>
        <w:ind w:left="1205" w:hanging="10"/>
        <w:jc w:val="center"/>
        <w:rPr>
          <w:rFonts w:ascii="Arial" w:eastAsia="Maiandra GD" w:hAnsi="Arial" w:cs="Arial"/>
          <w:b/>
          <w:bCs/>
          <w:sz w:val="24"/>
          <w:szCs w:val="24"/>
        </w:rPr>
      </w:pPr>
      <w:r w:rsidRPr="00DE64C0">
        <w:rPr>
          <w:rFonts w:ascii="Arial" w:eastAsia="Maiandra GD" w:hAnsi="Arial" w:cs="Arial"/>
          <w:b/>
          <w:bCs/>
          <w:sz w:val="24"/>
          <w:szCs w:val="24"/>
        </w:rPr>
        <w:t>REFERENCE</w:t>
      </w:r>
      <w:r w:rsidR="007F51FA" w:rsidRPr="00DE64C0">
        <w:rPr>
          <w:rFonts w:ascii="Arial" w:eastAsia="Maiandra GD" w:hAnsi="Arial" w:cs="Arial"/>
          <w:b/>
          <w:bCs/>
          <w:sz w:val="24"/>
          <w:szCs w:val="24"/>
        </w:rPr>
        <w:t>:</w:t>
      </w:r>
      <w:r w:rsidR="007F51FA" w:rsidRPr="00DE64C0">
        <w:rPr>
          <w:rFonts w:ascii="Arial" w:hAnsi="Arial" w:cs="Arial"/>
          <w:b/>
          <w:bCs/>
          <w:sz w:val="24"/>
          <w:szCs w:val="24"/>
        </w:rPr>
        <w:t xml:space="preserve"> </w:t>
      </w:r>
      <w:r w:rsidR="003B5533" w:rsidRPr="00DE64C0">
        <w:rPr>
          <w:rFonts w:ascii="Arial" w:eastAsia="Maiandra GD" w:hAnsi="Arial" w:cs="Arial"/>
          <w:b/>
          <w:bCs/>
          <w:sz w:val="24"/>
          <w:szCs w:val="24"/>
        </w:rPr>
        <w:t>SADC/3/5/2/4</w:t>
      </w:r>
      <w:r w:rsidR="00EE3006" w:rsidRPr="00DE64C0">
        <w:rPr>
          <w:rFonts w:ascii="Arial" w:eastAsia="Maiandra GD" w:hAnsi="Arial" w:cs="Arial"/>
          <w:b/>
          <w:bCs/>
          <w:sz w:val="24"/>
          <w:szCs w:val="24"/>
        </w:rPr>
        <w:t>3</w:t>
      </w:r>
      <w:r w:rsidR="00802E30" w:rsidRPr="00DE64C0">
        <w:rPr>
          <w:rFonts w:ascii="Arial" w:eastAsia="Maiandra GD" w:hAnsi="Arial" w:cs="Arial"/>
          <w:b/>
          <w:bCs/>
          <w:sz w:val="24"/>
          <w:szCs w:val="24"/>
        </w:rPr>
        <w:t>2</w:t>
      </w:r>
    </w:p>
    <w:p w14:paraId="46B7CFF4" w14:textId="77777777" w:rsidR="00BE7451" w:rsidRPr="00DE64C0" w:rsidRDefault="00BE7451" w:rsidP="000B0CA2">
      <w:pPr>
        <w:jc w:val="center"/>
        <w:rPr>
          <w:rFonts w:ascii="Arial" w:eastAsia="Maiandra GD" w:hAnsi="Arial" w:cs="Arial"/>
          <w:b/>
          <w:bCs/>
          <w:sz w:val="24"/>
          <w:szCs w:val="24"/>
        </w:rPr>
      </w:pPr>
    </w:p>
    <w:p w14:paraId="382A163B" w14:textId="77777777" w:rsidR="00802E30" w:rsidRPr="00DE64C0" w:rsidRDefault="00802E30" w:rsidP="00802E30">
      <w:pPr>
        <w:jc w:val="center"/>
        <w:rPr>
          <w:rFonts w:ascii="Arial" w:hAnsi="Arial" w:cs="Arial"/>
          <w:b/>
          <w:sz w:val="24"/>
          <w:szCs w:val="24"/>
        </w:rPr>
      </w:pPr>
    </w:p>
    <w:p w14:paraId="31D84160" w14:textId="77777777" w:rsidR="00840352" w:rsidRPr="00DE64C0" w:rsidRDefault="00802E30" w:rsidP="00802E30">
      <w:pPr>
        <w:jc w:val="center"/>
        <w:rPr>
          <w:rFonts w:ascii="Arial" w:hAnsi="Arial" w:cs="Arial"/>
          <w:b/>
          <w:bCs/>
          <w:sz w:val="24"/>
          <w:szCs w:val="24"/>
        </w:rPr>
      </w:pPr>
      <w:r w:rsidRPr="00DE64C0">
        <w:rPr>
          <w:rFonts w:ascii="Arial" w:hAnsi="Arial" w:cs="Arial"/>
          <w:b/>
          <w:sz w:val="24"/>
          <w:szCs w:val="24"/>
        </w:rPr>
        <w:t xml:space="preserve"> </w:t>
      </w:r>
      <w:r w:rsidRPr="00DE64C0">
        <w:rPr>
          <w:rFonts w:ascii="Arial" w:hAnsi="Arial" w:cs="Arial"/>
          <w:b/>
          <w:bCs/>
          <w:sz w:val="24"/>
          <w:szCs w:val="24"/>
        </w:rPr>
        <w:t xml:space="preserve">CONSULTANCY FOR INDEPENDENT ANALYSIS AND REORGANIZATION OF THE SADC SECRETARIAT STRUCTURE AND STAFF COMPLEMENT </w:t>
      </w:r>
    </w:p>
    <w:p w14:paraId="6C02EECA" w14:textId="2CB37319" w:rsidR="00986882" w:rsidRPr="00DE64C0" w:rsidRDefault="00E77D34" w:rsidP="00802E30">
      <w:pPr>
        <w:jc w:val="center"/>
        <w:rPr>
          <w:rFonts w:ascii="Arial" w:hAnsi="Arial" w:cs="Arial"/>
          <w:sz w:val="24"/>
          <w:szCs w:val="24"/>
        </w:rPr>
      </w:pPr>
      <w:r w:rsidRPr="00DE64C0">
        <w:rPr>
          <w:rFonts w:ascii="Arial" w:eastAsia="Maiandra GD" w:hAnsi="Arial" w:cs="Arial"/>
          <w:b/>
          <w:bCs/>
          <w:sz w:val="24"/>
          <w:szCs w:val="24"/>
        </w:rPr>
        <w:t>DATE OF ISSUE OF RESPONSES</w:t>
      </w:r>
      <w:r w:rsidR="006A1EEE" w:rsidRPr="00DE64C0">
        <w:rPr>
          <w:rFonts w:ascii="Arial" w:eastAsia="Maiandra GD" w:hAnsi="Arial" w:cs="Arial"/>
          <w:b/>
          <w:bCs/>
          <w:sz w:val="24"/>
          <w:szCs w:val="24"/>
        </w:rPr>
        <w:t xml:space="preserve">: </w:t>
      </w:r>
      <w:r w:rsidR="00B0773A" w:rsidRPr="00DE64C0">
        <w:rPr>
          <w:rFonts w:ascii="Arial" w:eastAsia="Maiandra GD" w:hAnsi="Arial" w:cs="Arial"/>
          <w:b/>
          <w:bCs/>
          <w:sz w:val="24"/>
          <w:szCs w:val="24"/>
        </w:rPr>
        <w:t>1</w:t>
      </w:r>
      <w:r w:rsidR="000965DF" w:rsidRPr="00DE64C0">
        <w:rPr>
          <w:rFonts w:ascii="Arial" w:eastAsia="Maiandra GD" w:hAnsi="Arial" w:cs="Arial"/>
          <w:b/>
          <w:bCs/>
          <w:sz w:val="24"/>
          <w:szCs w:val="24"/>
        </w:rPr>
        <w:t>4</w:t>
      </w:r>
      <w:r w:rsidR="00095518" w:rsidRPr="00DE64C0">
        <w:rPr>
          <w:rFonts w:ascii="Arial" w:eastAsia="Maiandra GD" w:hAnsi="Arial" w:cs="Arial"/>
          <w:b/>
          <w:bCs/>
          <w:sz w:val="24"/>
          <w:szCs w:val="24"/>
        </w:rPr>
        <w:t xml:space="preserve"> </w:t>
      </w:r>
      <w:r w:rsidR="000965DF" w:rsidRPr="00DE64C0">
        <w:rPr>
          <w:rFonts w:ascii="Arial" w:eastAsia="Maiandra GD" w:hAnsi="Arial" w:cs="Arial"/>
          <w:b/>
          <w:bCs/>
          <w:sz w:val="24"/>
          <w:szCs w:val="24"/>
        </w:rPr>
        <w:t>April</w:t>
      </w:r>
      <w:r w:rsidR="000E1F97" w:rsidRPr="00DE64C0">
        <w:rPr>
          <w:rFonts w:ascii="Arial" w:eastAsia="Maiandra GD" w:hAnsi="Arial" w:cs="Arial"/>
          <w:b/>
          <w:bCs/>
          <w:sz w:val="24"/>
          <w:szCs w:val="24"/>
        </w:rPr>
        <w:t xml:space="preserve"> 202</w:t>
      </w:r>
      <w:r w:rsidR="000965DF" w:rsidRPr="00DE64C0">
        <w:rPr>
          <w:rFonts w:ascii="Arial" w:eastAsia="Maiandra GD" w:hAnsi="Arial" w:cs="Arial"/>
          <w:b/>
          <w:bCs/>
          <w:sz w:val="24"/>
          <w:szCs w:val="24"/>
        </w:rPr>
        <w:t>6</w:t>
      </w:r>
    </w:p>
    <w:p w14:paraId="478FAC60" w14:textId="03CDB586" w:rsidR="00986882" w:rsidRPr="00DE64C0" w:rsidRDefault="00986882" w:rsidP="000B0CA2">
      <w:pPr>
        <w:jc w:val="center"/>
        <w:rPr>
          <w:rFonts w:ascii="Arial" w:hAnsi="Arial" w:cs="Arial"/>
          <w:sz w:val="24"/>
          <w:szCs w:val="24"/>
        </w:rPr>
      </w:pPr>
    </w:p>
    <w:tbl>
      <w:tblPr>
        <w:tblStyle w:val="TableGrid"/>
        <w:tblW w:w="13315" w:type="dxa"/>
        <w:tblInd w:w="5" w:type="dxa"/>
        <w:tblCellMar>
          <w:top w:w="50" w:type="dxa"/>
          <w:left w:w="108" w:type="dxa"/>
          <w:right w:w="71" w:type="dxa"/>
        </w:tblCellMar>
        <w:tblLook w:val="04A0" w:firstRow="1" w:lastRow="0" w:firstColumn="1" w:lastColumn="0" w:noHBand="0" w:noVBand="1"/>
      </w:tblPr>
      <w:tblGrid>
        <w:gridCol w:w="1220"/>
        <w:gridCol w:w="5265"/>
        <w:gridCol w:w="6830"/>
      </w:tblGrid>
      <w:tr w:rsidR="00986882" w:rsidRPr="00DE64C0" w14:paraId="5B587B05" w14:textId="77777777" w:rsidTr="5B2AB7FD">
        <w:trPr>
          <w:trHeight w:val="586"/>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B56A" w14:textId="77777777" w:rsidR="00986882" w:rsidRPr="00DE64C0" w:rsidRDefault="48E1549F" w:rsidP="48E1549F">
            <w:pPr>
              <w:rPr>
                <w:rFonts w:ascii="Arial" w:hAnsi="Arial" w:cs="Arial"/>
                <w:b/>
                <w:bCs/>
                <w:sz w:val="24"/>
                <w:szCs w:val="24"/>
              </w:rPr>
            </w:pPr>
            <w:r w:rsidRPr="48E1549F">
              <w:rPr>
                <w:rFonts w:ascii="Arial" w:eastAsia="Maiandra GD" w:hAnsi="Arial" w:cs="Arial"/>
                <w:b/>
                <w:bCs/>
                <w:sz w:val="24"/>
                <w:szCs w:val="24"/>
              </w:rPr>
              <w:t xml:space="preserve">Question </w:t>
            </w:r>
          </w:p>
          <w:p w14:paraId="14409BD8" w14:textId="77777777" w:rsidR="00986882" w:rsidRPr="00DE64C0" w:rsidRDefault="48E1549F" w:rsidP="48E1549F">
            <w:pPr>
              <w:rPr>
                <w:rFonts w:ascii="Arial" w:hAnsi="Arial" w:cs="Arial"/>
                <w:b/>
                <w:bCs/>
                <w:sz w:val="24"/>
                <w:szCs w:val="24"/>
              </w:rPr>
            </w:pPr>
            <w:r w:rsidRPr="48E1549F">
              <w:rPr>
                <w:rFonts w:ascii="Arial" w:eastAsia="Maiandra GD" w:hAnsi="Arial" w:cs="Arial"/>
                <w:b/>
                <w:bCs/>
                <w:sz w:val="24"/>
                <w:szCs w:val="24"/>
              </w:rPr>
              <w:t>N</w:t>
            </w:r>
            <w:r w:rsidRPr="48E1549F">
              <w:rPr>
                <w:rFonts w:ascii="Arial" w:eastAsia="Maiandra GD" w:hAnsi="Arial" w:cs="Arial"/>
                <w:b/>
                <w:bCs/>
                <w:sz w:val="24"/>
                <w:szCs w:val="24"/>
                <w:u w:val="single"/>
                <w:vertAlign w:val="superscript"/>
              </w:rPr>
              <w:t>o</w:t>
            </w:r>
            <w:r w:rsidRPr="48E1549F">
              <w:rPr>
                <w:rFonts w:ascii="Arial" w:eastAsia="Maiandra GD" w:hAnsi="Arial" w:cs="Arial"/>
                <w:b/>
                <w:bCs/>
                <w:sz w:val="24"/>
                <w:szCs w:val="24"/>
              </w:rPr>
              <w:t xml:space="preserve"> </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7C86" w14:textId="77777777" w:rsidR="00986882" w:rsidRPr="00DE64C0" w:rsidRDefault="48E1549F" w:rsidP="48E1549F">
            <w:pPr>
              <w:rPr>
                <w:rFonts w:ascii="Arial" w:hAnsi="Arial" w:cs="Arial"/>
                <w:b/>
                <w:bCs/>
                <w:sz w:val="24"/>
                <w:szCs w:val="24"/>
              </w:rPr>
            </w:pPr>
            <w:r w:rsidRPr="48E1549F">
              <w:rPr>
                <w:rFonts w:ascii="Arial" w:eastAsia="Maiandra GD" w:hAnsi="Arial" w:cs="Arial"/>
                <w:b/>
                <w:bCs/>
                <w:sz w:val="24"/>
                <w:szCs w:val="24"/>
              </w:rPr>
              <w:t xml:space="preserve">Question </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0C5FE" w14:textId="77777777" w:rsidR="00986882" w:rsidRPr="00DE64C0" w:rsidRDefault="48E1549F" w:rsidP="48E1549F">
            <w:pPr>
              <w:rPr>
                <w:rFonts w:ascii="Arial" w:hAnsi="Arial" w:cs="Arial"/>
                <w:b/>
                <w:bCs/>
                <w:sz w:val="24"/>
                <w:szCs w:val="24"/>
              </w:rPr>
            </w:pPr>
            <w:r w:rsidRPr="48E1549F">
              <w:rPr>
                <w:rFonts w:ascii="Arial" w:eastAsia="Maiandra GD" w:hAnsi="Arial" w:cs="Arial"/>
                <w:b/>
                <w:bCs/>
                <w:sz w:val="24"/>
                <w:szCs w:val="24"/>
              </w:rPr>
              <w:t xml:space="preserve">SADC Secretariat Response </w:t>
            </w:r>
          </w:p>
          <w:p w14:paraId="34988CA6" w14:textId="77777777" w:rsidR="00986882" w:rsidRPr="00DE64C0" w:rsidRDefault="48E1549F" w:rsidP="48E1549F">
            <w:pPr>
              <w:rPr>
                <w:rFonts w:ascii="Arial" w:hAnsi="Arial" w:cs="Arial"/>
                <w:b/>
                <w:bCs/>
                <w:sz w:val="24"/>
                <w:szCs w:val="24"/>
              </w:rPr>
            </w:pPr>
            <w:r w:rsidRPr="48E1549F">
              <w:rPr>
                <w:rFonts w:ascii="Arial" w:eastAsia="Maiandra GD" w:hAnsi="Arial" w:cs="Arial"/>
                <w:b/>
                <w:bCs/>
                <w:sz w:val="24"/>
                <w:szCs w:val="24"/>
              </w:rPr>
              <w:t xml:space="preserve"> </w:t>
            </w:r>
          </w:p>
        </w:tc>
      </w:tr>
      <w:tr w:rsidR="006008E3" w:rsidRPr="00DE64C0" w14:paraId="7C73EF04"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449ED" w14:textId="45BC79C4" w:rsidR="006008E3" w:rsidRPr="00DE64C0" w:rsidRDefault="48E1549F" w:rsidP="48E1549F">
            <w:pPr>
              <w:rPr>
                <w:rFonts w:ascii="Arial" w:hAnsi="Arial" w:cs="Arial"/>
                <w:sz w:val="24"/>
                <w:szCs w:val="24"/>
              </w:rPr>
            </w:pPr>
            <w:r w:rsidRPr="48E1549F">
              <w:rPr>
                <w:rFonts w:ascii="Arial" w:eastAsia="Maiandra GD" w:hAnsi="Arial" w:cs="Arial"/>
                <w:sz w:val="24"/>
                <w:szCs w:val="24"/>
              </w:rPr>
              <w:t>Nr.1</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F7E1B" w14:textId="7F02484D" w:rsidR="006A77BD" w:rsidRPr="00DE64C0" w:rsidRDefault="006A77BD" w:rsidP="48E1549F">
            <w:pPr>
              <w:jc w:val="both"/>
              <w:rPr>
                <w:rFonts w:ascii="Arial" w:hAnsi="Arial" w:cs="Arial"/>
                <w:noProof/>
                <w:sz w:val="24"/>
                <w:szCs w:val="24"/>
                <w:lang w:val="en-ZA"/>
                <w14:ligatures w14:val="none"/>
              </w:rPr>
            </w:pPr>
            <w:r w:rsidRPr="48E1549F">
              <w:rPr>
                <w:rFonts w:ascii="Arial" w:hAnsi="Arial" w:cs="Arial"/>
                <w:noProof/>
                <w:sz w:val="24"/>
                <w:szCs w:val="24"/>
                <w:lang w:val="en-ZA"/>
                <w14:ligatures w14:val="none"/>
              </w:rPr>
              <w:t>Kindly confirm the maximum budget available for this assignment.</w:t>
            </w:r>
          </w:p>
          <w:p w14:paraId="26CAA900" w14:textId="2245D6E2" w:rsidR="00E437BC" w:rsidRPr="00DE64C0" w:rsidRDefault="00E437BC" w:rsidP="48E1549F">
            <w:pPr>
              <w:jc w:val="both"/>
              <w:rPr>
                <w:rFonts w:ascii="Arial" w:eastAsia="Times New Roman" w:hAnsi="Arial" w:cs="Arial"/>
                <w:sz w:val="24"/>
                <w:szCs w:val="24"/>
                <w:lang w:val="en-ZA" w:eastAsia="en-GB"/>
              </w:rPr>
            </w:pP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1A33" w14:textId="6F051A63" w:rsidR="006008E3" w:rsidRPr="00DE64C0" w:rsidRDefault="00F01DA1" w:rsidP="48E1549F">
            <w:pPr>
              <w:shd w:val="clear" w:color="auto" w:fill="FFFFFF" w:themeFill="background1"/>
              <w:textAlignment w:val="baseline"/>
              <w:rPr>
                <w:rFonts w:ascii="Arial" w:eastAsia="Times New Roman" w:hAnsi="Arial" w:cs="Arial"/>
                <w:sz w:val="24"/>
                <w:szCs w:val="24"/>
                <w:lang w:eastAsia="en-GB"/>
              </w:rPr>
            </w:pPr>
            <w:r>
              <w:rPr>
                <w:rFonts w:ascii="Arial" w:eastAsia="Times New Roman" w:hAnsi="Arial" w:cs="Arial"/>
                <w:sz w:val="24"/>
                <w:szCs w:val="24"/>
                <w:lang w:val="en-ZA" w:eastAsia="en-GB"/>
              </w:rPr>
              <w:t xml:space="preserve">Our current </w:t>
            </w:r>
            <w:r w:rsidR="001F007D">
              <w:rPr>
                <w:rFonts w:ascii="Arial" w:eastAsia="Times New Roman" w:hAnsi="Arial" w:cs="Arial"/>
                <w:sz w:val="24"/>
                <w:szCs w:val="24"/>
                <w:lang w:val="en-ZA" w:eastAsia="en-GB"/>
              </w:rPr>
              <w:t>Procurement G</w:t>
            </w:r>
            <w:r>
              <w:rPr>
                <w:rFonts w:ascii="Arial" w:eastAsia="Times New Roman" w:hAnsi="Arial" w:cs="Arial"/>
                <w:sz w:val="24"/>
                <w:szCs w:val="24"/>
                <w:lang w:val="en-ZA" w:eastAsia="en-GB"/>
              </w:rPr>
              <w:t>uidelines</w:t>
            </w:r>
            <w:r w:rsidR="001F007D">
              <w:rPr>
                <w:rFonts w:ascii="Arial" w:eastAsia="Times New Roman" w:hAnsi="Arial" w:cs="Arial"/>
                <w:sz w:val="24"/>
                <w:szCs w:val="24"/>
                <w:lang w:val="en-ZA" w:eastAsia="en-GB"/>
              </w:rPr>
              <w:t xml:space="preserve"> do not mandate us to </w:t>
            </w:r>
            <w:r w:rsidR="00A72470">
              <w:rPr>
                <w:rFonts w:ascii="Arial" w:eastAsia="Times New Roman" w:hAnsi="Arial" w:cs="Arial"/>
                <w:sz w:val="24"/>
                <w:szCs w:val="24"/>
                <w:lang w:val="en-ZA" w:eastAsia="en-GB"/>
              </w:rPr>
              <w:t xml:space="preserve">disclose the budget amount. </w:t>
            </w:r>
            <w:r w:rsidR="001F3C5E">
              <w:rPr>
                <w:rFonts w:ascii="Arial" w:eastAsia="Times New Roman" w:hAnsi="Arial" w:cs="Arial"/>
                <w:sz w:val="24"/>
                <w:szCs w:val="24"/>
                <w:lang w:eastAsia="en-GB"/>
              </w:rPr>
              <w:t xml:space="preserve">Kindly provide a realistic </w:t>
            </w:r>
            <w:r w:rsidR="003A2C6C">
              <w:rPr>
                <w:rFonts w:ascii="Arial" w:eastAsia="Times New Roman" w:hAnsi="Arial" w:cs="Arial"/>
                <w:sz w:val="24"/>
                <w:szCs w:val="24"/>
                <w:lang w:eastAsia="en-GB"/>
              </w:rPr>
              <w:t xml:space="preserve">amount </w:t>
            </w:r>
            <w:r w:rsidR="001F3C5E">
              <w:rPr>
                <w:rFonts w:ascii="Arial" w:eastAsia="Times New Roman" w:hAnsi="Arial" w:cs="Arial"/>
                <w:sz w:val="24"/>
                <w:szCs w:val="24"/>
                <w:lang w:eastAsia="en-GB"/>
              </w:rPr>
              <w:t xml:space="preserve">of how much the assignment will cost as per the Terms of Reference. </w:t>
            </w:r>
            <w:r w:rsidR="02949F8B" w:rsidRPr="02949F8B">
              <w:rPr>
                <w:rFonts w:ascii="Arial" w:eastAsia="Times New Roman" w:hAnsi="Arial" w:cs="Arial"/>
                <w:sz w:val="24"/>
                <w:szCs w:val="24"/>
                <w:lang w:eastAsia="en-GB"/>
              </w:rPr>
              <w:t xml:space="preserve"> </w:t>
            </w:r>
          </w:p>
        </w:tc>
      </w:tr>
      <w:tr w:rsidR="006008E3" w:rsidRPr="00DE64C0" w14:paraId="07EE2045"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2AB8" w14:textId="0BF1D5A7" w:rsidR="006008E3"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Nr.2</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B8D2" w14:textId="77777777" w:rsidR="00865E82" w:rsidRPr="00DE64C0" w:rsidRDefault="48E1549F" w:rsidP="48E1549F">
            <w:pPr>
              <w:jc w:val="both"/>
              <w:rPr>
                <w:rFonts w:ascii="Arial" w:hAnsi="Arial" w:cs="Arial"/>
                <w:sz w:val="24"/>
                <w:szCs w:val="24"/>
                <w:lang w:val="en-ZA"/>
              </w:rPr>
            </w:pPr>
            <w:r w:rsidRPr="48E1549F">
              <w:rPr>
                <w:rFonts w:ascii="Arial" w:hAnsi="Arial" w:cs="Arial"/>
                <w:sz w:val="24"/>
                <w:szCs w:val="24"/>
                <w:lang w:val="en-ZA"/>
              </w:rPr>
              <w:t>Clause 3.3(i) of the Information to Bidders provides that subcontracting is permissible up to 40% of total staff-days. However, Data Sheet Clause 3.3(i) states that “The Bidder will not subcontract any portion of the assignment.” These provisions are contradictory. Kindly confirm which provision governs and whether any form of subcontracting or consortium arrangement is permitted under this contract.</w:t>
            </w:r>
          </w:p>
          <w:p w14:paraId="5E65B799" w14:textId="481875E4" w:rsidR="00F1666C" w:rsidRPr="00DE64C0" w:rsidRDefault="00F1666C" w:rsidP="48E1549F">
            <w:pPr>
              <w:jc w:val="both"/>
              <w:rPr>
                <w:rFonts w:ascii="Arial" w:hAnsi="Arial" w:cs="Arial"/>
                <w:sz w:val="24"/>
                <w:szCs w:val="24"/>
                <w:lang w:val="en-ZA"/>
              </w:rPr>
            </w:pP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151DA" w14:textId="375C3527" w:rsidR="006008E3" w:rsidRPr="00DE64C0" w:rsidRDefault="48E1549F" w:rsidP="009B490C">
            <w:pPr>
              <w:shd w:val="clear" w:color="auto" w:fill="FFFFFF" w:themeFill="background1"/>
              <w:textAlignment w:val="baseline"/>
              <w:rPr>
                <w:rFonts w:ascii="Arial" w:hAnsi="Arial" w:cs="Arial"/>
                <w:sz w:val="24"/>
                <w:szCs w:val="24"/>
              </w:rPr>
            </w:pPr>
            <w:r w:rsidRPr="48E1549F">
              <w:rPr>
                <w:rFonts w:ascii="Arial" w:hAnsi="Arial" w:cs="Arial"/>
                <w:sz w:val="24"/>
                <w:szCs w:val="24"/>
              </w:rPr>
              <w:lastRenderedPageBreak/>
              <w:t xml:space="preserve">Clause 3.3(i) shall prevail. </w:t>
            </w:r>
            <w:r w:rsidR="009B490C">
              <w:rPr>
                <w:rFonts w:ascii="Arial" w:hAnsi="Arial" w:cs="Arial"/>
                <w:sz w:val="24"/>
                <w:szCs w:val="24"/>
              </w:rPr>
              <w:t xml:space="preserve">Note that the clause quoted reads partly as follows </w:t>
            </w:r>
            <w:r w:rsidR="009B490C" w:rsidRPr="000E2CB7">
              <w:rPr>
                <w:rFonts w:ascii="Arial" w:hAnsi="Arial" w:cs="Arial"/>
                <w:i/>
                <w:iCs/>
                <w:sz w:val="24"/>
                <w:szCs w:val="24"/>
              </w:rPr>
              <w:t xml:space="preserve">“In case of subcontracting </w:t>
            </w:r>
            <w:r w:rsidR="009B490C" w:rsidRPr="000E2CB7">
              <w:rPr>
                <w:rFonts w:ascii="Arial" w:hAnsi="Arial" w:cs="Arial"/>
                <w:b/>
                <w:bCs/>
                <w:i/>
                <w:iCs/>
                <w:sz w:val="24"/>
                <w:szCs w:val="24"/>
              </w:rPr>
              <w:t>this shall be in the limit stated in the Data Sheet</w:t>
            </w:r>
            <w:r w:rsidR="009B490C" w:rsidRPr="000E2CB7">
              <w:rPr>
                <w:rFonts w:ascii="Arial" w:hAnsi="Arial" w:cs="Arial"/>
                <w:i/>
                <w:iCs/>
                <w:sz w:val="24"/>
                <w:szCs w:val="24"/>
              </w:rPr>
              <w:t xml:space="preserve"> but under no</w:t>
            </w:r>
            <w:r w:rsidR="009B490C">
              <w:rPr>
                <w:rFonts w:ascii="Arial" w:hAnsi="Arial" w:cs="Arial"/>
                <w:i/>
                <w:iCs/>
                <w:sz w:val="24"/>
                <w:szCs w:val="24"/>
              </w:rPr>
              <w:t xml:space="preserve"> </w:t>
            </w:r>
            <w:r w:rsidR="009B490C" w:rsidRPr="000E2CB7">
              <w:rPr>
                <w:rFonts w:ascii="Arial" w:hAnsi="Arial" w:cs="Arial"/>
                <w:i/>
                <w:iCs/>
                <w:sz w:val="24"/>
                <w:szCs w:val="24"/>
              </w:rPr>
              <w:t>circumstances shall</w:t>
            </w:r>
            <w:r w:rsidR="009B490C">
              <w:rPr>
                <w:rFonts w:ascii="Arial" w:hAnsi="Arial" w:cs="Arial"/>
                <w:i/>
                <w:iCs/>
                <w:sz w:val="24"/>
                <w:szCs w:val="24"/>
              </w:rPr>
              <w:t xml:space="preserve"> </w:t>
            </w:r>
            <w:r w:rsidR="009B490C" w:rsidRPr="000E2CB7">
              <w:rPr>
                <w:rFonts w:ascii="Arial" w:hAnsi="Arial" w:cs="Arial"/>
                <w:i/>
                <w:iCs/>
                <w:sz w:val="24"/>
                <w:szCs w:val="24"/>
              </w:rPr>
              <w:t>exceed forty percent (40%) of the total staff-days input.”</w:t>
            </w:r>
            <w:r w:rsidR="009B490C">
              <w:rPr>
                <w:rFonts w:ascii="Arial" w:hAnsi="Arial" w:cs="Arial"/>
                <w:sz w:val="24"/>
                <w:szCs w:val="24"/>
              </w:rPr>
              <w:t xml:space="preserve"> This entails that the Data Sheet provides the specific application of this Clause, hence, as specified in the Data Sheet subcontracting will not be accepted.</w:t>
            </w:r>
          </w:p>
        </w:tc>
      </w:tr>
      <w:tr w:rsidR="006008E3" w:rsidRPr="00DE64C0" w14:paraId="4C707492"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99B7" w14:textId="6A33F8CA" w:rsidR="006008E3"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Nr.3</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8E49C" w14:textId="7C1ECD95" w:rsidR="00EA31D0"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For global price contracts, Clause 3.3(ii) of the Information to Bidders states that the estimated number of professional working days is to be provided in the Data Sheet. No such figure has been included in the Data Sheet as issued. Kindly provide the estimated total staff-days input envisaged for this assignment, disaggregated by Key Expert position where possible.</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8AA04" w14:textId="7D362E3F" w:rsidR="007100C4" w:rsidRPr="00DE64C0" w:rsidRDefault="57915596" w:rsidP="48E1549F">
            <w:pPr>
              <w:rPr>
                <w:rFonts w:ascii="Arial" w:eastAsia="Times New Roman" w:hAnsi="Arial" w:cs="Arial"/>
                <w:sz w:val="24"/>
                <w:szCs w:val="24"/>
                <w14:ligatures w14:val="none"/>
              </w:rPr>
            </w:pPr>
            <w:r w:rsidRPr="48E1549F">
              <w:rPr>
                <w:rFonts w:ascii="Arial" w:eastAsia="Times New Roman" w:hAnsi="Arial" w:cs="Arial"/>
                <w:sz w:val="24"/>
                <w:szCs w:val="24"/>
              </w:rPr>
              <w:t>The estimated implementation period for the assignment is</w:t>
            </w:r>
            <w:r w:rsidR="004E2D75" w:rsidRPr="48E1549F">
              <w:rPr>
                <w:rFonts w:ascii="Arial" w:eastAsia="Times New Roman" w:hAnsi="Arial" w:cs="Arial"/>
                <w:sz w:val="24"/>
                <w:szCs w:val="24"/>
              </w:rPr>
              <w:t xml:space="preserve"> six</w:t>
            </w:r>
            <w:r w:rsidRPr="48E1549F">
              <w:rPr>
                <w:rFonts w:ascii="Arial" w:eastAsia="Times New Roman" w:hAnsi="Arial" w:cs="Arial"/>
                <w:sz w:val="24"/>
                <w:szCs w:val="24"/>
              </w:rPr>
              <w:t xml:space="preserve"> </w:t>
            </w:r>
            <w:r w:rsidR="00125473" w:rsidRPr="48E1549F">
              <w:rPr>
                <w:rFonts w:ascii="Arial" w:eastAsia="Times New Roman" w:hAnsi="Arial" w:cs="Arial"/>
                <w:sz w:val="24"/>
                <w:szCs w:val="24"/>
              </w:rPr>
              <w:t>(</w:t>
            </w:r>
            <w:r w:rsidRPr="48E1549F">
              <w:rPr>
                <w:rFonts w:ascii="Arial" w:eastAsia="Times New Roman" w:hAnsi="Arial" w:cs="Arial"/>
                <w:sz w:val="24"/>
                <w:szCs w:val="24"/>
              </w:rPr>
              <w:t>6</w:t>
            </w:r>
            <w:r w:rsidR="00125473" w:rsidRPr="48E1549F">
              <w:rPr>
                <w:rFonts w:ascii="Arial" w:eastAsia="Times New Roman" w:hAnsi="Arial" w:cs="Arial"/>
                <w:sz w:val="24"/>
                <w:szCs w:val="24"/>
              </w:rPr>
              <w:t>)</w:t>
            </w:r>
            <w:r w:rsidRPr="48E1549F">
              <w:rPr>
                <w:rFonts w:ascii="Arial" w:eastAsia="Times New Roman" w:hAnsi="Arial" w:cs="Arial"/>
                <w:sz w:val="24"/>
                <w:szCs w:val="24"/>
              </w:rPr>
              <w:t xml:space="preserve"> months</w:t>
            </w:r>
            <w:r w:rsidR="00125473" w:rsidRPr="48E1549F">
              <w:rPr>
                <w:rFonts w:ascii="Arial" w:eastAsia="Times New Roman" w:hAnsi="Arial" w:cs="Arial"/>
                <w:sz w:val="24"/>
                <w:szCs w:val="24"/>
              </w:rPr>
              <w:t>.</w:t>
            </w:r>
            <w:r w:rsidRPr="48E1549F">
              <w:rPr>
                <w:rFonts w:ascii="Arial" w:eastAsia="Times New Roman" w:hAnsi="Arial" w:cs="Arial"/>
                <w:sz w:val="24"/>
                <w:szCs w:val="24"/>
              </w:rPr>
              <w:t xml:space="preserve"> </w:t>
            </w:r>
            <w:r w:rsidR="00C07EB6" w:rsidRPr="48E1549F">
              <w:rPr>
                <w:rFonts w:ascii="Arial" w:eastAsia="Times New Roman" w:hAnsi="Arial" w:cs="Arial"/>
                <w:sz w:val="24"/>
                <w:szCs w:val="24"/>
                <w14:ligatures w14:val="none"/>
              </w:rPr>
              <w:t xml:space="preserve"> </w:t>
            </w:r>
            <w:r w:rsidR="009B490C">
              <w:rPr>
                <w:rFonts w:ascii="Arial" w:eastAsia="Times New Roman" w:hAnsi="Arial" w:cs="Arial"/>
                <w:sz w:val="24"/>
                <w:szCs w:val="24"/>
                <w14:ligatures w14:val="none"/>
              </w:rPr>
              <w:t xml:space="preserve">The segregation by Key Expert will be determined by the Consulting Firm noting that this is Global Price contract. </w:t>
            </w:r>
          </w:p>
          <w:p w14:paraId="56671A80" w14:textId="2E038CCD" w:rsidR="007E4C38" w:rsidRPr="00DE64C0" w:rsidRDefault="007E4C38" w:rsidP="48E1549F">
            <w:pPr>
              <w:rPr>
                <w:rFonts w:ascii="Arial" w:eastAsia="Times New Roman" w:hAnsi="Arial" w:cs="Arial"/>
                <w:sz w:val="24"/>
                <w:szCs w:val="24"/>
                <w:lang w:eastAsia="en-GB"/>
              </w:rPr>
            </w:pPr>
          </w:p>
        </w:tc>
      </w:tr>
      <w:tr w:rsidR="0037543F" w:rsidRPr="00DE64C0" w14:paraId="46AB56B6"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EB85" w14:textId="6212C0AF" w:rsidR="0037543F"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Nr.4</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9395C" w14:textId="420A4021" w:rsidR="00EA2FF3"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Section 4.1 of the Terms of Reference references a workload analysis report produced in October 2022 and describes it as constituting “a good basis for the analysis required” under this assignment. Kindly advise whether this report will be made available to bidders prior to the proposal submission deadline, and if so, through what channel.</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B1746" w14:textId="1F1946F7" w:rsidR="007100C4" w:rsidRPr="00DE64C0" w:rsidRDefault="007100C4" w:rsidP="48E1549F">
            <w:pPr>
              <w:rPr>
                <w:rFonts w:ascii="Arial" w:eastAsia="Times New Roman" w:hAnsi="Arial" w:cs="Arial"/>
                <w:sz w:val="24"/>
                <w:szCs w:val="24"/>
                <w14:ligatures w14:val="none"/>
              </w:rPr>
            </w:pPr>
            <w:r w:rsidRPr="48E1549F">
              <w:rPr>
                <w:rFonts w:ascii="Arial" w:eastAsia="Times New Roman" w:hAnsi="Arial" w:cs="Arial"/>
                <w:sz w:val="24"/>
                <w:szCs w:val="24"/>
                <w:lang w:val="en-ZA"/>
                <w14:ligatures w14:val="none"/>
              </w:rPr>
              <w:t>A</w:t>
            </w:r>
            <w:r w:rsidRPr="48E1549F">
              <w:rPr>
                <w:rFonts w:ascii="Arial" w:eastAsia="Times New Roman" w:hAnsi="Arial" w:cs="Arial"/>
                <w:sz w:val="24"/>
                <w:szCs w:val="24"/>
                <w14:ligatures w14:val="none"/>
              </w:rPr>
              <w:t xml:space="preserve">ccess to confidential document(s) shall be </w:t>
            </w:r>
            <w:r w:rsidR="00125473" w:rsidRPr="48E1549F">
              <w:rPr>
                <w:rFonts w:ascii="Arial" w:eastAsia="Times New Roman" w:hAnsi="Arial" w:cs="Arial"/>
                <w:sz w:val="24"/>
                <w:szCs w:val="24"/>
                <w14:ligatures w14:val="none"/>
              </w:rPr>
              <w:t>provided to</w:t>
            </w:r>
            <w:r w:rsidRPr="48E1549F">
              <w:rPr>
                <w:rFonts w:ascii="Arial" w:eastAsia="Times New Roman" w:hAnsi="Arial" w:cs="Arial"/>
                <w:sz w:val="24"/>
                <w:szCs w:val="24"/>
                <w14:ligatures w14:val="none"/>
              </w:rPr>
              <w:t xml:space="preserve"> the successful bidder.</w:t>
            </w:r>
          </w:p>
          <w:p w14:paraId="083A7BC8" w14:textId="593D63F8" w:rsidR="0037543F" w:rsidRPr="00DE64C0" w:rsidRDefault="0037543F" w:rsidP="48E1549F">
            <w:pPr>
              <w:rPr>
                <w:rFonts w:ascii="Arial" w:eastAsia="Times New Roman" w:hAnsi="Arial" w:cs="Arial"/>
                <w:sz w:val="24"/>
                <w:szCs w:val="24"/>
                <w:lang w:eastAsia="en-GB"/>
              </w:rPr>
            </w:pPr>
          </w:p>
        </w:tc>
      </w:tr>
      <w:tr w:rsidR="00343CCB" w:rsidRPr="00DE64C0" w14:paraId="04839A8B"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C61F5" w14:textId="13C9DAC0" w:rsidR="00343CCB"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Nr.5</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6E452" w14:textId="7A414ADE" w:rsidR="0073578B"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Kindly advise whether the Procuring Entity will make available to bidders any of the following prior to the submission deadline: the current approved organisational structure chart; the total number of filled and vacant positions; and existing job descriptions. Availability of such documentation would be material to the preparation of a credible methodology and work plan.</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2324" w14:textId="269ADB02" w:rsidR="007100C4" w:rsidRPr="00DE64C0" w:rsidRDefault="007100C4" w:rsidP="48E1549F">
            <w:pPr>
              <w:rPr>
                <w:rFonts w:ascii="Arial" w:eastAsia="Times New Roman" w:hAnsi="Arial" w:cs="Arial"/>
                <w:sz w:val="24"/>
                <w:szCs w:val="24"/>
                <w14:ligatures w14:val="none"/>
              </w:rPr>
            </w:pPr>
            <w:r w:rsidRPr="48E1549F">
              <w:rPr>
                <w:rFonts w:ascii="Arial" w:eastAsia="Times New Roman" w:hAnsi="Arial" w:cs="Arial"/>
                <w:sz w:val="24"/>
                <w:szCs w:val="24"/>
                <w:lang w:val="en-ZA"/>
                <w14:ligatures w14:val="none"/>
              </w:rPr>
              <w:t>A</w:t>
            </w:r>
            <w:r w:rsidRPr="48E1549F">
              <w:rPr>
                <w:rFonts w:ascii="Arial" w:eastAsia="Times New Roman" w:hAnsi="Arial" w:cs="Arial"/>
                <w:sz w:val="24"/>
                <w:szCs w:val="24"/>
                <w14:ligatures w14:val="none"/>
              </w:rPr>
              <w:t>ccess to confidential document(s) shall be provided to the successful bidder. The overall structure is attached.</w:t>
            </w:r>
          </w:p>
          <w:p w14:paraId="07E2026C" w14:textId="5849C3D1" w:rsidR="00BB7B5F" w:rsidRPr="00DE64C0" w:rsidRDefault="00BB7B5F" w:rsidP="48E1549F">
            <w:pPr>
              <w:rPr>
                <w:rFonts w:ascii="Arial" w:eastAsia="Times New Roman" w:hAnsi="Arial" w:cs="Arial"/>
                <w:sz w:val="24"/>
                <w:szCs w:val="24"/>
                <w:lang w:eastAsia="en-GB"/>
              </w:rPr>
            </w:pPr>
          </w:p>
        </w:tc>
      </w:tr>
      <w:tr w:rsidR="000965DF" w:rsidRPr="00DE64C0" w14:paraId="42288898"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A62F0" w14:textId="04F9AF97" w:rsidR="000965DF"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Nr.6</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1FAB6" w14:textId="77777777" w:rsidR="0015560A"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Section 6.2 of the Terms of Reference requires the Contractor to provide office accommodation of a minimum of 10 square metres per expert at its own cost. Kindly clarify:</w:t>
            </w:r>
          </w:p>
          <w:p w14:paraId="646BEF1B" w14:textId="77777777" w:rsidR="0015560A"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lastRenderedPageBreak/>
              <w:t>(a) Whether both Key Experts are expected to be physically present in Gaborone on a full-time basis for the entirety of the six-month implementation period; and</w:t>
            </w:r>
          </w:p>
          <w:p w14:paraId="6CE280E7" w14:textId="1BC0DA98" w:rsidR="000965DF" w:rsidRPr="00DE64C0" w:rsidRDefault="48E1549F" w:rsidP="48E1549F">
            <w:pPr>
              <w:jc w:val="both"/>
              <w:rPr>
                <w:rFonts w:ascii="Arial" w:eastAsia="Times New Roman" w:hAnsi="Arial" w:cs="Arial"/>
                <w:sz w:val="24"/>
                <w:szCs w:val="24"/>
                <w:lang w:val="en-GB" w:eastAsia="en-GB"/>
              </w:rPr>
            </w:pPr>
            <w:r w:rsidRPr="48E1549F">
              <w:rPr>
                <w:rFonts w:ascii="Arial" w:eastAsia="Times New Roman" w:hAnsi="Arial" w:cs="Arial"/>
                <w:sz w:val="24"/>
                <w:szCs w:val="24"/>
                <w:lang w:val="en-ZA" w:eastAsia="en-GB"/>
              </w:rPr>
              <w:t>(b) Whether any portion of the assignment may be conducted remotely from the Contractor’s home office</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A659D" w14:textId="29B75939" w:rsidR="007100C4" w:rsidRPr="00DE64C0" w:rsidRDefault="007100C4" w:rsidP="48E1549F">
            <w:pPr>
              <w:rPr>
                <w:rFonts w:ascii="Arial" w:eastAsia="Times New Roman" w:hAnsi="Arial" w:cs="Arial"/>
                <w:sz w:val="24"/>
                <w:szCs w:val="24"/>
                <w14:ligatures w14:val="none"/>
              </w:rPr>
            </w:pPr>
            <w:r w:rsidRPr="48E1549F">
              <w:rPr>
                <w:rFonts w:ascii="Arial" w:eastAsia="Times New Roman" w:hAnsi="Arial" w:cs="Arial"/>
                <w:sz w:val="24"/>
                <w:szCs w:val="24"/>
                <w:lang w:val="en-GB"/>
                <w14:ligatures w14:val="none"/>
              </w:rPr>
              <w:lastRenderedPageBreak/>
              <w:t xml:space="preserve">(a) </w:t>
            </w:r>
            <w:r w:rsidRPr="48E1549F">
              <w:rPr>
                <w:rFonts w:ascii="Arial" w:eastAsia="Times New Roman" w:hAnsi="Arial" w:cs="Arial"/>
                <w:sz w:val="24"/>
                <w:szCs w:val="24"/>
                <w14:ligatures w14:val="none"/>
              </w:rPr>
              <w:t>The bidder shall outline methodology and working modality that enable delivery of services as required in this bidding document</w:t>
            </w:r>
            <w:r w:rsidR="00AE3624" w:rsidRPr="48E1549F">
              <w:rPr>
                <w:rFonts w:ascii="Arial" w:eastAsia="Times New Roman" w:hAnsi="Arial" w:cs="Arial"/>
                <w:sz w:val="24"/>
                <w:szCs w:val="24"/>
                <w14:ligatures w14:val="none"/>
              </w:rPr>
              <w:t>; and</w:t>
            </w:r>
            <w:r w:rsidRPr="48E1549F">
              <w:rPr>
                <w:rFonts w:ascii="Arial" w:eastAsia="Times New Roman" w:hAnsi="Arial" w:cs="Arial"/>
                <w:sz w:val="24"/>
                <w:szCs w:val="24"/>
                <w14:ligatures w14:val="none"/>
              </w:rPr>
              <w:t xml:space="preserve"> </w:t>
            </w:r>
          </w:p>
          <w:p w14:paraId="0ECE4B7E" w14:textId="77777777" w:rsidR="007100C4" w:rsidRPr="00DE64C0" w:rsidRDefault="007100C4" w:rsidP="48E1549F">
            <w:pPr>
              <w:rPr>
                <w:rFonts w:ascii="Arial" w:eastAsia="Times New Roman" w:hAnsi="Arial" w:cs="Arial"/>
                <w:sz w:val="24"/>
                <w:szCs w:val="24"/>
                <w14:ligatures w14:val="none"/>
              </w:rPr>
            </w:pPr>
          </w:p>
          <w:p w14:paraId="6B0DB202" w14:textId="025A6918" w:rsidR="007100C4" w:rsidRPr="00DE64C0" w:rsidRDefault="007100C4" w:rsidP="48E1549F">
            <w:pPr>
              <w:rPr>
                <w:rFonts w:ascii="Arial" w:eastAsia="Times New Roman" w:hAnsi="Arial" w:cs="Arial"/>
                <w:sz w:val="24"/>
                <w:szCs w:val="24"/>
                <w14:ligatures w14:val="none"/>
              </w:rPr>
            </w:pPr>
            <w:r w:rsidRPr="48E1549F">
              <w:rPr>
                <w:rFonts w:ascii="Arial" w:eastAsia="Times New Roman" w:hAnsi="Arial" w:cs="Arial"/>
                <w:sz w:val="24"/>
                <w:szCs w:val="24"/>
                <w14:ligatures w14:val="none"/>
              </w:rPr>
              <w:t xml:space="preserve">(b) Same as (a) above. </w:t>
            </w:r>
          </w:p>
          <w:p w14:paraId="085BA90C" w14:textId="0772E014" w:rsidR="007100C4" w:rsidRPr="00DE64C0" w:rsidRDefault="007100C4" w:rsidP="48E1549F">
            <w:pPr>
              <w:rPr>
                <w:rFonts w:ascii="Arial" w:eastAsia="Times New Roman" w:hAnsi="Arial" w:cs="Arial"/>
                <w:sz w:val="24"/>
                <w:szCs w:val="24"/>
                <w14:ligatures w14:val="none"/>
              </w:rPr>
            </w:pPr>
          </w:p>
          <w:p w14:paraId="48781774" w14:textId="77777777" w:rsidR="000965DF" w:rsidRPr="00DE64C0" w:rsidRDefault="000965DF" w:rsidP="48E1549F">
            <w:pPr>
              <w:rPr>
                <w:rFonts w:ascii="Arial" w:eastAsia="Times New Roman" w:hAnsi="Arial" w:cs="Arial"/>
                <w:sz w:val="24"/>
                <w:szCs w:val="24"/>
                <w:lang w:eastAsia="en-GB"/>
              </w:rPr>
            </w:pPr>
          </w:p>
        </w:tc>
      </w:tr>
      <w:tr w:rsidR="006B0CF7" w:rsidRPr="00DE64C0" w14:paraId="02EF1278"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6DC22" w14:textId="2B0CE6E9" w:rsidR="006B0CF7" w:rsidRPr="00DE64C0" w:rsidRDefault="48E1549F" w:rsidP="48E1549F">
            <w:pPr>
              <w:rPr>
                <w:rFonts w:ascii="Arial" w:eastAsia="Maiandra GD" w:hAnsi="Arial" w:cs="Arial"/>
                <w:sz w:val="24"/>
                <w:szCs w:val="24"/>
              </w:rPr>
            </w:pPr>
            <w:r w:rsidRPr="48E1549F">
              <w:rPr>
                <w:rFonts w:ascii="Arial" w:eastAsia="Maiandra GD" w:hAnsi="Arial" w:cs="Arial"/>
                <w:sz w:val="24"/>
                <w:szCs w:val="24"/>
              </w:rPr>
              <w:lastRenderedPageBreak/>
              <w:t>Nr.7</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EE1E5" w14:textId="77777777" w:rsidR="00EE1789"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The specific objective of the Terms of Reference requires that the proposed organisational structure be achieved with “zero or no significant financial implications.” Kindly clarify:</w:t>
            </w:r>
          </w:p>
          <w:p w14:paraId="0BBCE0D7" w14:textId="77777777" w:rsidR="00EE1789"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(a) Whether this constraint precludes the Consultant from recommending the creation of any new positions; and</w:t>
            </w:r>
          </w:p>
          <w:p w14:paraId="1F77D068" w14:textId="1BFAFD2A" w:rsidR="006B0CF7"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(b) Whether recommendations for the elimination or merger of existing funded posts fall within the permitted scope of the assignment.</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1849" w14:textId="3A39D57C" w:rsidR="00DE64C0" w:rsidRDefault="57915596" w:rsidP="007100C4">
            <w:pPr>
              <w:pStyle w:val="ListParagraph"/>
              <w:numPr>
                <w:ilvl w:val="0"/>
                <w:numId w:val="22"/>
              </w:numPr>
              <w:jc w:val="both"/>
              <w:rPr>
                <w:rFonts w:ascii="Arial" w:eastAsia="Times New Roman" w:hAnsi="Arial" w:cs="Arial"/>
                <w:color w:val="auto"/>
                <w:sz w:val="24"/>
                <w:szCs w:val="24"/>
              </w:rPr>
            </w:pPr>
            <w:r w:rsidRPr="00DE64C0">
              <w:rPr>
                <w:rFonts w:ascii="Arial" w:eastAsia="Times New Roman" w:hAnsi="Arial" w:cs="Arial"/>
                <w:color w:val="auto"/>
                <w:sz w:val="24"/>
                <w:szCs w:val="24"/>
              </w:rPr>
              <w:t>The successful bidder is expected to independently analyse and reorganis</w:t>
            </w:r>
            <w:r w:rsidR="004D7BDA" w:rsidRPr="00DE64C0">
              <w:rPr>
                <w:rFonts w:ascii="Arial" w:eastAsia="Times New Roman" w:hAnsi="Arial" w:cs="Arial"/>
                <w:color w:val="auto"/>
                <w:sz w:val="24"/>
                <w:szCs w:val="24"/>
              </w:rPr>
              <w:t>e the</w:t>
            </w:r>
            <w:r w:rsidRPr="00DE64C0">
              <w:rPr>
                <w:rFonts w:ascii="Arial" w:eastAsia="Times New Roman" w:hAnsi="Arial" w:cs="Arial"/>
                <w:color w:val="auto"/>
                <w:sz w:val="24"/>
                <w:szCs w:val="24"/>
              </w:rPr>
              <w:t xml:space="preserve"> SADC Secretariat Structure and Staff complement and provide Final Report and Presentation, including an implementation roadmap for the proposed realigned structure as stipulated in</w:t>
            </w:r>
            <w:r w:rsidR="000E6408">
              <w:rPr>
                <w:rFonts w:ascii="Arial" w:eastAsia="Times New Roman" w:hAnsi="Arial" w:cs="Arial"/>
                <w:color w:val="auto"/>
                <w:sz w:val="24"/>
                <w:szCs w:val="24"/>
              </w:rPr>
              <w:t xml:space="preserve"> the</w:t>
            </w:r>
            <w:r w:rsidRPr="00DE64C0">
              <w:rPr>
                <w:rFonts w:ascii="Arial" w:eastAsia="Times New Roman" w:hAnsi="Arial" w:cs="Arial"/>
                <w:color w:val="auto"/>
                <w:sz w:val="24"/>
                <w:szCs w:val="24"/>
              </w:rPr>
              <w:t xml:space="preserve"> Term of </w:t>
            </w:r>
            <w:r w:rsidR="000E6408">
              <w:rPr>
                <w:rFonts w:ascii="Arial" w:eastAsia="Times New Roman" w:hAnsi="Arial" w:cs="Arial"/>
                <w:color w:val="auto"/>
                <w:sz w:val="24"/>
                <w:szCs w:val="24"/>
              </w:rPr>
              <w:t>R</w:t>
            </w:r>
            <w:r w:rsidRPr="00DE64C0">
              <w:rPr>
                <w:rFonts w:ascii="Arial" w:eastAsia="Times New Roman" w:hAnsi="Arial" w:cs="Arial"/>
                <w:color w:val="auto"/>
                <w:sz w:val="24"/>
                <w:szCs w:val="24"/>
              </w:rPr>
              <w:t>eferences</w:t>
            </w:r>
            <w:r w:rsidR="00691AC3">
              <w:rPr>
                <w:rFonts w:ascii="Arial" w:eastAsia="Times New Roman" w:hAnsi="Arial" w:cs="Arial"/>
                <w:color w:val="auto"/>
                <w:sz w:val="24"/>
                <w:szCs w:val="24"/>
              </w:rPr>
              <w:t>; and</w:t>
            </w:r>
          </w:p>
          <w:p w14:paraId="43159B19" w14:textId="77777777" w:rsidR="00DE64C0" w:rsidRDefault="00DE64C0" w:rsidP="00DE64C0">
            <w:pPr>
              <w:pStyle w:val="ListParagraph"/>
              <w:jc w:val="both"/>
              <w:rPr>
                <w:rFonts w:ascii="Arial" w:eastAsia="Times New Roman" w:hAnsi="Arial" w:cs="Arial"/>
                <w:color w:val="auto"/>
                <w:sz w:val="24"/>
                <w:szCs w:val="24"/>
              </w:rPr>
            </w:pPr>
          </w:p>
          <w:p w14:paraId="4FA5A081" w14:textId="4C42ADAE" w:rsidR="007100C4" w:rsidRPr="00DE64C0" w:rsidRDefault="48E1549F" w:rsidP="007100C4">
            <w:pPr>
              <w:pStyle w:val="ListParagraph"/>
              <w:numPr>
                <w:ilvl w:val="0"/>
                <w:numId w:val="22"/>
              </w:numPr>
              <w:jc w:val="both"/>
              <w:rPr>
                <w:rFonts w:ascii="Arial" w:eastAsia="Times New Roman" w:hAnsi="Arial" w:cs="Arial"/>
                <w:color w:val="auto"/>
                <w:sz w:val="24"/>
                <w:szCs w:val="24"/>
              </w:rPr>
            </w:pPr>
            <w:r w:rsidRPr="48E1549F">
              <w:rPr>
                <w:rFonts w:ascii="Arial" w:eastAsia="Times New Roman" w:hAnsi="Arial" w:cs="Arial"/>
                <w:color w:val="auto"/>
                <w:sz w:val="24"/>
                <w:szCs w:val="24"/>
              </w:rPr>
              <w:t>Same as (a) above.</w:t>
            </w:r>
          </w:p>
          <w:p w14:paraId="5282E745" w14:textId="200B603D" w:rsidR="007100C4" w:rsidRPr="00DE64C0" w:rsidRDefault="007100C4" w:rsidP="48E1549F">
            <w:pPr>
              <w:rPr>
                <w:rFonts w:ascii="Arial" w:eastAsia="Times New Roman" w:hAnsi="Arial" w:cs="Arial"/>
                <w:sz w:val="24"/>
                <w:szCs w:val="24"/>
                <w:lang w:eastAsia="en-GB"/>
              </w:rPr>
            </w:pPr>
          </w:p>
        </w:tc>
      </w:tr>
      <w:tr w:rsidR="006B0CF7" w:rsidRPr="00DE64C0" w14:paraId="049A5BF0"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3329" w14:textId="29DE0AB0" w:rsidR="006B0CF7"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Nr.8</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F606B" w14:textId="2F73FAD1" w:rsidR="006B0CF7" w:rsidRPr="00DE64C0" w:rsidRDefault="48E1549F" w:rsidP="48E1549F">
            <w:pPr>
              <w:jc w:val="both"/>
              <w:rPr>
                <w:rFonts w:ascii="Arial" w:eastAsia="Times New Roman" w:hAnsi="Arial" w:cs="Arial"/>
                <w:sz w:val="24"/>
                <w:szCs w:val="24"/>
                <w:lang w:val="en-GB" w:eastAsia="en-GB"/>
              </w:rPr>
            </w:pPr>
            <w:r w:rsidRPr="48E1549F">
              <w:rPr>
                <w:rFonts w:ascii="Arial" w:eastAsia="Times New Roman" w:hAnsi="Arial" w:cs="Arial"/>
                <w:sz w:val="24"/>
                <w:szCs w:val="24"/>
                <w:lang w:val="en-ZA" w:eastAsia="en-GB"/>
              </w:rPr>
              <w:t>Section 4.2 of the Terms of Reference requires the Consultant to benchmark the SADC Secretariat’s structure and operations against “similar regional organisations.” Kindly indicate which organisations the Procuring Entity considers appropriate comparators for this purpose</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BF280" w14:textId="6133738D" w:rsidR="007100C4" w:rsidRPr="00DE64C0" w:rsidRDefault="007100C4" w:rsidP="48E1549F">
            <w:pPr>
              <w:rPr>
                <w:rFonts w:ascii="Arial" w:eastAsia="Times New Roman" w:hAnsi="Arial" w:cs="Arial"/>
                <w:sz w:val="24"/>
                <w:szCs w:val="24"/>
                <w14:ligatures w14:val="none"/>
              </w:rPr>
            </w:pPr>
            <w:r w:rsidRPr="48E1549F">
              <w:rPr>
                <w:rFonts w:ascii="Arial" w:eastAsia="Times New Roman" w:hAnsi="Arial" w:cs="Arial"/>
                <w:sz w:val="24"/>
                <w:szCs w:val="24"/>
                <w14:ligatures w14:val="none"/>
              </w:rPr>
              <w:t>African Regional Economic Communities</w:t>
            </w:r>
            <w:r w:rsidR="000E6408" w:rsidRPr="48E1549F">
              <w:rPr>
                <w:rFonts w:ascii="Arial" w:eastAsia="Times New Roman" w:hAnsi="Arial" w:cs="Arial"/>
                <w:sz w:val="24"/>
                <w:szCs w:val="24"/>
                <w14:ligatures w14:val="none"/>
              </w:rPr>
              <w:t xml:space="preserve"> such as</w:t>
            </w:r>
            <w:r w:rsidRPr="48E1549F">
              <w:rPr>
                <w:rFonts w:ascii="Arial" w:eastAsia="Times New Roman" w:hAnsi="Arial" w:cs="Arial"/>
                <w:sz w:val="24"/>
                <w:szCs w:val="24"/>
                <w14:ligatures w14:val="none"/>
              </w:rPr>
              <w:t xml:space="preserve"> </w:t>
            </w:r>
            <w:r w:rsidR="00F128D0">
              <w:rPr>
                <w:rFonts w:ascii="Arial" w:eastAsia="Times New Roman" w:hAnsi="Arial" w:cs="Arial"/>
                <w:sz w:val="24"/>
                <w:szCs w:val="24"/>
                <w14:ligatures w14:val="none"/>
              </w:rPr>
              <w:t>Economic Community of West African States</w:t>
            </w:r>
            <w:r w:rsidR="00786993">
              <w:rPr>
                <w:rFonts w:ascii="Arial" w:eastAsia="Times New Roman" w:hAnsi="Arial" w:cs="Arial"/>
                <w:sz w:val="24"/>
                <w:szCs w:val="24"/>
                <w14:ligatures w14:val="none"/>
              </w:rPr>
              <w:t xml:space="preserve"> </w:t>
            </w:r>
            <w:r w:rsidR="00D30B18">
              <w:rPr>
                <w:rFonts w:ascii="Arial" w:eastAsia="Times New Roman" w:hAnsi="Arial" w:cs="Arial"/>
                <w:sz w:val="24"/>
                <w:szCs w:val="24"/>
                <w14:ligatures w14:val="none"/>
              </w:rPr>
              <w:t>(</w:t>
            </w:r>
            <w:r w:rsidRPr="48E1549F">
              <w:rPr>
                <w:rFonts w:ascii="Arial" w:eastAsia="Times New Roman" w:hAnsi="Arial" w:cs="Arial"/>
                <w:sz w:val="24"/>
                <w:szCs w:val="24"/>
                <w14:ligatures w14:val="none"/>
              </w:rPr>
              <w:t>ECOWAS</w:t>
            </w:r>
            <w:r w:rsidR="00D30B18">
              <w:rPr>
                <w:rFonts w:ascii="Arial" w:eastAsia="Times New Roman" w:hAnsi="Arial" w:cs="Arial"/>
                <w:sz w:val="24"/>
                <w:szCs w:val="24"/>
                <w14:ligatures w14:val="none"/>
              </w:rPr>
              <w:t>)</w:t>
            </w:r>
            <w:r w:rsidRPr="48E1549F">
              <w:rPr>
                <w:rFonts w:ascii="Arial" w:eastAsia="Times New Roman" w:hAnsi="Arial" w:cs="Arial"/>
                <w:sz w:val="24"/>
                <w:szCs w:val="24"/>
                <w14:ligatures w14:val="none"/>
              </w:rPr>
              <w:t xml:space="preserve">, </w:t>
            </w:r>
            <w:r w:rsidR="009650C3">
              <w:rPr>
                <w:rFonts w:ascii="Arial" w:eastAsia="Times New Roman" w:hAnsi="Arial" w:cs="Arial"/>
                <w:sz w:val="24"/>
                <w:szCs w:val="24"/>
                <w14:ligatures w14:val="none"/>
              </w:rPr>
              <w:t>East</w:t>
            </w:r>
            <w:r w:rsidR="00D30B18">
              <w:rPr>
                <w:rFonts w:ascii="Arial" w:eastAsia="Times New Roman" w:hAnsi="Arial" w:cs="Arial"/>
                <w:sz w:val="24"/>
                <w:szCs w:val="24"/>
                <w14:ligatures w14:val="none"/>
              </w:rPr>
              <w:t xml:space="preserve"> African Community</w:t>
            </w:r>
            <w:r w:rsidR="009650C3">
              <w:rPr>
                <w:rFonts w:ascii="Arial" w:eastAsia="Times New Roman" w:hAnsi="Arial" w:cs="Arial"/>
                <w:sz w:val="24"/>
                <w:szCs w:val="24"/>
                <w14:ligatures w14:val="none"/>
              </w:rPr>
              <w:t>(</w:t>
            </w:r>
            <w:r w:rsidRPr="48E1549F">
              <w:rPr>
                <w:rFonts w:ascii="Arial" w:eastAsia="Times New Roman" w:hAnsi="Arial" w:cs="Arial"/>
                <w:sz w:val="24"/>
                <w:szCs w:val="24"/>
                <w14:ligatures w14:val="none"/>
              </w:rPr>
              <w:t>EAC</w:t>
            </w:r>
            <w:r w:rsidR="009650C3">
              <w:rPr>
                <w:rFonts w:ascii="Arial" w:eastAsia="Times New Roman" w:hAnsi="Arial" w:cs="Arial"/>
                <w:sz w:val="24"/>
                <w:szCs w:val="24"/>
                <w14:ligatures w14:val="none"/>
              </w:rPr>
              <w:t>)</w:t>
            </w:r>
            <w:r w:rsidRPr="48E1549F">
              <w:rPr>
                <w:rFonts w:ascii="Arial" w:eastAsia="Times New Roman" w:hAnsi="Arial" w:cs="Arial"/>
                <w:sz w:val="24"/>
                <w:szCs w:val="24"/>
                <w14:ligatures w14:val="none"/>
              </w:rPr>
              <w:t xml:space="preserve">, </w:t>
            </w:r>
            <w:r w:rsidR="00DF352D">
              <w:rPr>
                <w:rFonts w:ascii="Arial" w:eastAsia="Times New Roman" w:hAnsi="Arial" w:cs="Arial"/>
                <w:sz w:val="24"/>
                <w:szCs w:val="24"/>
                <w14:ligatures w14:val="none"/>
              </w:rPr>
              <w:t xml:space="preserve">Common Market for Eastern </w:t>
            </w:r>
            <w:r w:rsidR="00DE7529">
              <w:rPr>
                <w:rFonts w:ascii="Arial" w:eastAsia="Times New Roman" w:hAnsi="Arial" w:cs="Arial"/>
                <w:sz w:val="24"/>
                <w:szCs w:val="24"/>
                <w14:ligatures w14:val="none"/>
              </w:rPr>
              <w:t xml:space="preserve">and Southern Africa </w:t>
            </w:r>
            <w:r w:rsidR="00786993">
              <w:rPr>
                <w:rFonts w:ascii="Arial" w:eastAsia="Times New Roman" w:hAnsi="Arial" w:cs="Arial"/>
                <w:sz w:val="24"/>
                <w:szCs w:val="24"/>
                <w14:ligatures w14:val="none"/>
              </w:rPr>
              <w:t>(</w:t>
            </w:r>
            <w:r w:rsidRPr="48E1549F">
              <w:rPr>
                <w:rFonts w:ascii="Arial" w:eastAsia="Times New Roman" w:hAnsi="Arial" w:cs="Arial"/>
                <w:sz w:val="24"/>
                <w:szCs w:val="24"/>
                <w14:ligatures w14:val="none"/>
              </w:rPr>
              <w:t>COMESA</w:t>
            </w:r>
            <w:r w:rsidR="00786993">
              <w:rPr>
                <w:rFonts w:ascii="Arial" w:eastAsia="Times New Roman" w:hAnsi="Arial" w:cs="Arial"/>
                <w:sz w:val="24"/>
                <w:szCs w:val="24"/>
                <w14:ligatures w14:val="none"/>
              </w:rPr>
              <w:t>)</w:t>
            </w:r>
            <w:r w:rsidRPr="48E1549F">
              <w:rPr>
                <w:rFonts w:ascii="Arial" w:eastAsia="Times New Roman" w:hAnsi="Arial" w:cs="Arial"/>
                <w:sz w:val="24"/>
                <w:szCs w:val="24"/>
                <w14:ligatures w14:val="none"/>
              </w:rPr>
              <w:t>,</w:t>
            </w:r>
            <w:r w:rsidR="00DE7529">
              <w:rPr>
                <w:rFonts w:ascii="Arial" w:eastAsia="Times New Roman" w:hAnsi="Arial" w:cs="Arial"/>
                <w:sz w:val="24"/>
                <w:szCs w:val="24"/>
                <w14:ligatures w14:val="none"/>
              </w:rPr>
              <w:t xml:space="preserve"> </w:t>
            </w:r>
            <w:r w:rsidR="006E2B66">
              <w:rPr>
                <w:rFonts w:ascii="Arial" w:eastAsia="Times New Roman" w:hAnsi="Arial" w:cs="Arial"/>
                <w:sz w:val="24"/>
                <w:szCs w:val="24"/>
                <w14:ligatures w14:val="none"/>
              </w:rPr>
              <w:t xml:space="preserve">Economic Community of Central </w:t>
            </w:r>
            <w:r w:rsidR="005452EE">
              <w:rPr>
                <w:rFonts w:ascii="Arial" w:eastAsia="Times New Roman" w:hAnsi="Arial" w:cs="Arial"/>
                <w:sz w:val="24"/>
                <w:szCs w:val="24"/>
                <w14:ligatures w14:val="none"/>
              </w:rPr>
              <w:t>African States</w:t>
            </w:r>
            <w:r w:rsidRPr="48E1549F">
              <w:rPr>
                <w:rFonts w:ascii="Arial" w:eastAsia="Times New Roman" w:hAnsi="Arial" w:cs="Arial"/>
                <w:sz w:val="24"/>
                <w:szCs w:val="24"/>
                <w14:ligatures w14:val="none"/>
              </w:rPr>
              <w:t xml:space="preserve"> </w:t>
            </w:r>
            <w:r w:rsidR="00DE7529">
              <w:rPr>
                <w:rFonts w:ascii="Arial" w:eastAsia="Times New Roman" w:hAnsi="Arial" w:cs="Arial"/>
                <w:sz w:val="24"/>
                <w:szCs w:val="24"/>
                <w14:ligatures w14:val="none"/>
              </w:rPr>
              <w:t>(</w:t>
            </w:r>
            <w:r w:rsidRPr="48E1549F">
              <w:rPr>
                <w:rFonts w:ascii="Arial" w:eastAsia="Times New Roman" w:hAnsi="Arial" w:cs="Arial"/>
                <w:sz w:val="24"/>
                <w:szCs w:val="24"/>
                <w14:ligatures w14:val="none"/>
              </w:rPr>
              <w:t>ECCAS</w:t>
            </w:r>
            <w:r w:rsidR="00DE7529">
              <w:rPr>
                <w:rFonts w:ascii="Arial" w:eastAsia="Times New Roman" w:hAnsi="Arial" w:cs="Arial"/>
                <w:sz w:val="24"/>
                <w:szCs w:val="24"/>
                <w14:ligatures w14:val="none"/>
              </w:rPr>
              <w:t>)</w:t>
            </w:r>
            <w:r w:rsidRPr="48E1549F">
              <w:rPr>
                <w:rFonts w:ascii="Arial" w:eastAsia="Times New Roman" w:hAnsi="Arial" w:cs="Arial"/>
                <w:sz w:val="24"/>
                <w:szCs w:val="24"/>
                <w14:ligatures w14:val="none"/>
              </w:rPr>
              <w:t xml:space="preserve"> and </w:t>
            </w:r>
            <w:r w:rsidR="00DD287D">
              <w:rPr>
                <w:rFonts w:ascii="Arial" w:eastAsia="Times New Roman" w:hAnsi="Arial" w:cs="Arial"/>
                <w:sz w:val="24"/>
                <w:szCs w:val="24"/>
                <w14:ligatures w14:val="none"/>
              </w:rPr>
              <w:t>Intergovernmental</w:t>
            </w:r>
            <w:r w:rsidR="00A90CDC">
              <w:rPr>
                <w:rFonts w:ascii="Arial" w:eastAsia="Times New Roman" w:hAnsi="Arial" w:cs="Arial"/>
                <w:sz w:val="24"/>
                <w:szCs w:val="24"/>
                <w14:ligatures w14:val="none"/>
              </w:rPr>
              <w:t xml:space="preserve"> Author</w:t>
            </w:r>
            <w:r w:rsidR="00DD287D">
              <w:rPr>
                <w:rFonts w:ascii="Arial" w:eastAsia="Times New Roman" w:hAnsi="Arial" w:cs="Arial"/>
                <w:sz w:val="24"/>
                <w:szCs w:val="24"/>
                <w14:ligatures w14:val="none"/>
              </w:rPr>
              <w:t xml:space="preserve">ity on Development </w:t>
            </w:r>
            <w:r w:rsidR="005452EE">
              <w:rPr>
                <w:rFonts w:ascii="Arial" w:eastAsia="Times New Roman" w:hAnsi="Arial" w:cs="Arial"/>
                <w:sz w:val="24"/>
                <w:szCs w:val="24"/>
                <w14:ligatures w14:val="none"/>
              </w:rPr>
              <w:t>(</w:t>
            </w:r>
            <w:r w:rsidRPr="48E1549F">
              <w:rPr>
                <w:rFonts w:ascii="Arial" w:eastAsia="Times New Roman" w:hAnsi="Arial" w:cs="Arial"/>
                <w:sz w:val="24"/>
                <w:szCs w:val="24"/>
                <w14:ligatures w14:val="none"/>
              </w:rPr>
              <w:t>IGAD</w:t>
            </w:r>
            <w:r w:rsidR="005452EE">
              <w:rPr>
                <w:rFonts w:ascii="Arial" w:eastAsia="Times New Roman" w:hAnsi="Arial" w:cs="Arial"/>
                <w:sz w:val="24"/>
                <w:szCs w:val="24"/>
                <w14:ligatures w14:val="none"/>
              </w:rPr>
              <w:t>)</w:t>
            </w:r>
            <w:r w:rsidRPr="48E1549F">
              <w:rPr>
                <w:rFonts w:ascii="Arial" w:eastAsia="Times New Roman" w:hAnsi="Arial" w:cs="Arial"/>
                <w:sz w:val="24"/>
                <w:szCs w:val="24"/>
                <w14:ligatures w14:val="none"/>
              </w:rPr>
              <w:t>.</w:t>
            </w:r>
          </w:p>
          <w:p w14:paraId="18C2CF60" w14:textId="77777777" w:rsidR="006B0CF7" w:rsidRPr="00DE64C0" w:rsidRDefault="006B0CF7" w:rsidP="48E1549F">
            <w:pPr>
              <w:rPr>
                <w:rFonts w:ascii="Arial" w:eastAsia="Times New Roman" w:hAnsi="Arial" w:cs="Arial"/>
                <w:sz w:val="24"/>
                <w:szCs w:val="24"/>
                <w:lang w:eastAsia="en-GB"/>
              </w:rPr>
            </w:pPr>
          </w:p>
        </w:tc>
      </w:tr>
      <w:tr w:rsidR="00E371A1" w:rsidRPr="00DE64C0" w14:paraId="7DC20AF2"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10437" w14:textId="42A9606F" w:rsidR="00E371A1"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Nr.9</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F1CF" w14:textId="77777777" w:rsidR="00132EF1"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The Terms of Reference contemplate extensive engagement with staff across all Directorates and Units of the SADC Secretariat. Kindly confirm:</w:t>
            </w:r>
          </w:p>
          <w:p w14:paraId="3DF77F38" w14:textId="77777777" w:rsidR="00132EF1"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(a) Whether the Secretariat will establish a formal internal working group or designate a focal point to facilitate access for the Consultant;</w:t>
            </w:r>
          </w:p>
          <w:p w14:paraId="5AD86C45" w14:textId="77777777" w:rsidR="00132EF1"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lastRenderedPageBreak/>
              <w:t>(b) The approximate number of staff members who will be made available for interviews or workshops; and</w:t>
            </w:r>
          </w:p>
          <w:p w14:paraId="0D4B93EA" w14:textId="27A247CE" w:rsidR="00E371A1"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(c) Whether engagement with Member State representatives' forms part of the expected scope of this assignment.</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4B837" w14:textId="77777777" w:rsidR="00A3564B" w:rsidRDefault="007100C4" w:rsidP="48E1549F">
            <w:pPr>
              <w:pStyle w:val="xelementtoproof"/>
              <w:shd w:val="clear" w:color="auto" w:fill="FFFFFF" w:themeFill="background1"/>
              <w:spacing w:before="0" w:beforeAutospacing="0" w:after="0" w:afterAutospacing="0"/>
              <w:ind w:left="330"/>
              <w:jc w:val="both"/>
              <w:rPr>
                <w:rFonts w:ascii="Arial" w:hAnsi="Arial" w:cs="Arial"/>
                <w:bdr w:val="none" w:sz="0" w:space="0" w:color="auto" w:frame="1"/>
              </w:rPr>
            </w:pPr>
            <w:r w:rsidRPr="48E1549F">
              <w:rPr>
                <w:rFonts w:ascii="Arial" w:hAnsi="Arial" w:cs="Arial"/>
                <w:bdr w:val="none" w:sz="0" w:space="0" w:color="auto" w:frame="1"/>
              </w:rPr>
              <w:lastRenderedPageBreak/>
              <w:t>(a) Yes</w:t>
            </w:r>
            <w:r w:rsidR="00984AAB" w:rsidRPr="48E1549F">
              <w:rPr>
                <w:rFonts w:ascii="Arial" w:hAnsi="Arial" w:cs="Arial"/>
                <w:bdr w:val="none" w:sz="0" w:space="0" w:color="auto" w:frame="1"/>
              </w:rPr>
              <w:t>;</w:t>
            </w:r>
          </w:p>
          <w:p w14:paraId="6722C4E7" w14:textId="77777777" w:rsidR="00A3564B" w:rsidRDefault="00A3564B" w:rsidP="48E1549F">
            <w:pPr>
              <w:pStyle w:val="xelementtoproof"/>
              <w:shd w:val="clear" w:color="auto" w:fill="FFFFFF" w:themeFill="background1"/>
              <w:spacing w:before="0" w:beforeAutospacing="0" w:after="0" w:afterAutospacing="0"/>
              <w:jc w:val="both"/>
              <w:rPr>
                <w:rFonts w:ascii="Arial" w:hAnsi="Arial" w:cs="Arial"/>
                <w:shd w:val="clear" w:color="auto" w:fill="FFFFFF"/>
              </w:rPr>
            </w:pPr>
          </w:p>
          <w:p w14:paraId="4D5FF0B3" w14:textId="7BE47241" w:rsidR="007100C4" w:rsidRDefault="0036575B" w:rsidP="48E1549F">
            <w:pPr>
              <w:pStyle w:val="xelementtoproof"/>
              <w:numPr>
                <w:ilvl w:val="0"/>
                <w:numId w:val="23"/>
              </w:numPr>
              <w:shd w:val="clear" w:color="auto" w:fill="FFFFFF" w:themeFill="background1"/>
              <w:spacing w:before="0" w:beforeAutospacing="0" w:after="0" w:afterAutospacing="0"/>
              <w:jc w:val="both"/>
              <w:rPr>
                <w:rFonts w:ascii="Arial" w:hAnsi="Arial" w:cs="Arial"/>
                <w:bdr w:val="none" w:sz="0" w:space="0" w:color="auto" w:frame="1"/>
              </w:rPr>
            </w:pPr>
            <w:r w:rsidRPr="48E1549F">
              <w:rPr>
                <w:rFonts w:ascii="Arial" w:hAnsi="Arial" w:cs="Arial"/>
                <w:shd w:val="clear" w:color="auto" w:fill="FFFFFF"/>
              </w:rPr>
              <w:t>The bidder shall propose based on their needs and as deemed fit to deliver the services as required</w:t>
            </w:r>
            <w:r w:rsidR="00AD4E96" w:rsidRPr="48E1549F">
              <w:rPr>
                <w:rFonts w:ascii="Arial" w:hAnsi="Arial" w:cs="Arial"/>
                <w:shd w:val="clear" w:color="auto" w:fill="FFFFFF"/>
              </w:rPr>
              <w:t>; and</w:t>
            </w:r>
          </w:p>
          <w:p w14:paraId="5BA03BD5" w14:textId="77777777" w:rsidR="00A3564B" w:rsidRPr="00DE64C0" w:rsidRDefault="00A3564B" w:rsidP="48E1549F">
            <w:pPr>
              <w:pStyle w:val="xelementtoproof"/>
              <w:shd w:val="clear" w:color="auto" w:fill="FFFFFF" w:themeFill="background1"/>
              <w:spacing w:before="0" w:beforeAutospacing="0" w:after="0" w:afterAutospacing="0"/>
              <w:ind w:left="720"/>
              <w:jc w:val="both"/>
              <w:rPr>
                <w:rFonts w:ascii="Arial" w:hAnsi="Arial" w:cs="Arial"/>
              </w:rPr>
            </w:pPr>
          </w:p>
          <w:p w14:paraId="27763AFF" w14:textId="38295B3F" w:rsidR="00E371A1" w:rsidRPr="00515DF1" w:rsidRDefault="007100C4" w:rsidP="48E1549F">
            <w:pPr>
              <w:pStyle w:val="xelementtoproof"/>
              <w:shd w:val="clear" w:color="auto" w:fill="FFFFFF" w:themeFill="background1"/>
              <w:spacing w:before="0" w:beforeAutospacing="0" w:after="0" w:afterAutospacing="0"/>
              <w:ind w:left="690" w:hanging="360"/>
              <w:jc w:val="both"/>
              <w:rPr>
                <w:rFonts w:ascii="Arial" w:hAnsi="Arial" w:cs="Arial"/>
                <w:highlight w:val="cyan"/>
              </w:rPr>
            </w:pPr>
            <w:r w:rsidRPr="48E1549F">
              <w:rPr>
                <w:rFonts w:ascii="Arial" w:hAnsi="Arial" w:cs="Arial"/>
                <w:bdr w:val="none" w:sz="0" w:space="0" w:color="auto" w:frame="1"/>
              </w:rPr>
              <w:t>(c) This shall be determined and agreed upon with successful bidder, should the need arise to engage Member States representatives</w:t>
            </w:r>
            <w:r w:rsidR="00AD4E96" w:rsidRPr="48E1549F">
              <w:rPr>
                <w:rFonts w:ascii="Arial" w:hAnsi="Arial" w:cs="Arial"/>
                <w:bdr w:val="none" w:sz="0" w:space="0" w:color="auto" w:frame="1"/>
              </w:rPr>
              <w:t>.</w:t>
            </w:r>
          </w:p>
        </w:tc>
      </w:tr>
      <w:tr w:rsidR="00E371A1" w:rsidRPr="00DE64C0" w14:paraId="26A1D6BB"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6681" w14:textId="30C81AB2" w:rsidR="00E371A1"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Nr.10</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36DB" w14:textId="0ACF0111" w:rsidR="00E371A1" w:rsidRPr="00DE64C0" w:rsidRDefault="48E1549F" w:rsidP="48E1549F">
            <w:pPr>
              <w:jc w:val="both"/>
              <w:rPr>
                <w:rFonts w:ascii="Arial" w:eastAsia="Times New Roman" w:hAnsi="Arial" w:cs="Arial"/>
                <w:sz w:val="24"/>
                <w:szCs w:val="24"/>
                <w:highlight w:val="yellow"/>
                <w:lang w:val="en-GB" w:eastAsia="en-GB"/>
              </w:rPr>
            </w:pPr>
            <w:r w:rsidRPr="48E1549F">
              <w:rPr>
                <w:rFonts w:ascii="Arial" w:eastAsia="Times New Roman" w:hAnsi="Arial" w:cs="Arial"/>
                <w:sz w:val="24"/>
                <w:szCs w:val="24"/>
                <w:lang w:val="en-ZA" w:eastAsia="en-GB"/>
              </w:rPr>
              <w:t>Data Sheet Clause 4.3 provides that only the Technical Proposal is to be submitted at this stage and that bidders who meet the technical threshold will subsequently be invited to submit their Financial Proposals. The RFP does not specify the modality or timeline for financial proposal submission at that stage. Kindly advise how and within what timeframe Financial Proposals will be called for and submitted</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E6126" w14:textId="6CA20CFE" w:rsidR="00E371A1" w:rsidRPr="00DE64C0"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t>Bidders meeting the technical threshold will be notified accordingly.</w:t>
            </w:r>
          </w:p>
        </w:tc>
      </w:tr>
      <w:tr w:rsidR="0003032E" w:rsidRPr="00DE64C0" w14:paraId="188FA7F6"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2375F" w14:textId="0ACE0E8D" w:rsidR="0003032E"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Nr.11</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21CB8" w14:textId="77777777" w:rsidR="00236E08"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The Data Sheet requires submission of a valid tax clearance certificate and a duly commissioned sworn statement. Kindly confirm:</w:t>
            </w:r>
          </w:p>
          <w:p w14:paraId="5DF4AA4A" w14:textId="77777777" w:rsidR="00236E08"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(a) Whether the tax clearance certificate is required from the bidder’s home country tax authority or from the Botswana Unified Revenue Service;</w:t>
            </w:r>
          </w:p>
          <w:p w14:paraId="0E35C4DC" w14:textId="77777777" w:rsidR="00236E08"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(b) Whether the sworn statement may be commissioned before a commissioner of oaths or notary in the bidder’s country of domicile; and</w:t>
            </w:r>
          </w:p>
          <w:p w14:paraId="2F32EF7C" w14:textId="115432DF" w:rsidR="0003032E" w:rsidRPr="00DE64C0" w:rsidRDefault="48E1549F" w:rsidP="48E1549F">
            <w:pPr>
              <w:jc w:val="both"/>
              <w:rPr>
                <w:rFonts w:ascii="Arial" w:eastAsia="Times New Roman" w:hAnsi="Arial" w:cs="Arial"/>
                <w:sz w:val="24"/>
                <w:szCs w:val="24"/>
                <w:lang w:val="en-ZA" w:eastAsia="en-GB"/>
              </w:rPr>
            </w:pPr>
            <w:r w:rsidRPr="48E1549F">
              <w:rPr>
                <w:rFonts w:ascii="Arial" w:eastAsia="Times New Roman" w:hAnsi="Arial" w:cs="Arial"/>
                <w:sz w:val="24"/>
                <w:szCs w:val="24"/>
                <w:lang w:val="en-ZA" w:eastAsia="en-GB"/>
              </w:rPr>
              <w:t>(c) Whether supporting documents not in English must be accompanied by a certified or notarised translation.</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28E24" w14:textId="0A883548" w:rsidR="0003032E" w:rsidRPr="00DE64C0" w:rsidRDefault="48E1549F" w:rsidP="48E1549F">
            <w:pPr>
              <w:pStyle w:val="ListParagraph"/>
              <w:numPr>
                <w:ilvl w:val="0"/>
                <w:numId w:val="2"/>
              </w:numPr>
              <w:rPr>
                <w:rFonts w:ascii="Arial" w:eastAsia="Times New Roman" w:hAnsi="Arial" w:cs="Arial"/>
                <w:color w:val="auto"/>
                <w:sz w:val="24"/>
                <w:szCs w:val="24"/>
                <w:lang w:eastAsia="en-GB"/>
              </w:rPr>
            </w:pPr>
            <w:r w:rsidRPr="48E1549F">
              <w:rPr>
                <w:rFonts w:ascii="Arial" w:eastAsia="Times New Roman" w:hAnsi="Arial" w:cs="Arial"/>
                <w:color w:val="auto"/>
                <w:sz w:val="24"/>
                <w:szCs w:val="24"/>
                <w:lang w:eastAsia="en-GB"/>
              </w:rPr>
              <w:t>The tax clearance certificate from where the bidder is operating from shall be considered to show compliance to that country</w:t>
            </w:r>
          </w:p>
          <w:p w14:paraId="328410A2" w14:textId="5121F0A4" w:rsidR="0003032E" w:rsidRPr="00DE64C0" w:rsidRDefault="48E1549F" w:rsidP="48E1549F">
            <w:pPr>
              <w:pStyle w:val="ListParagraph"/>
              <w:numPr>
                <w:ilvl w:val="0"/>
                <w:numId w:val="2"/>
              </w:numPr>
              <w:rPr>
                <w:rFonts w:ascii="Arial" w:eastAsia="Times New Roman" w:hAnsi="Arial" w:cs="Arial"/>
                <w:color w:val="auto"/>
                <w:sz w:val="24"/>
                <w:szCs w:val="24"/>
                <w:lang w:eastAsia="en-GB"/>
              </w:rPr>
            </w:pPr>
            <w:r w:rsidRPr="48E1549F">
              <w:rPr>
                <w:rFonts w:ascii="Arial" w:eastAsia="Times New Roman" w:hAnsi="Arial" w:cs="Arial"/>
                <w:color w:val="auto"/>
                <w:sz w:val="24"/>
                <w:szCs w:val="24"/>
                <w:lang w:eastAsia="en-GB"/>
              </w:rPr>
              <w:t>The sworn in statement can be commissioned in the bidder’s country</w:t>
            </w:r>
          </w:p>
          <w:p w14:paraId="501A35D2" w14:textId="47B5F78E" w:rsidR="0003032E" w:rsidRPr="00DE64C0" w:rsidRDefault="48E1549F" w:rsidP="48E1549F">
            <w:pPr>
              <w:pStyle w:val="ListParagraph"/>
              <w:numPr>
                <w:ilvl w:val="0"/>
                <w:numId w:val="2"/>
              </w:numPr>
              <w:rPr>
                <w:rFonts w:ascii="Arial" w:eastAsia="Times New Roman" w:hAnsi="Arial" w:cs="Arial"/>
                <w:color w:val="auto"/>
                <w:sz w:val="24"/>
                <w:szCs w:val="24"/>
                <w:lang w:eastAsia="en-GB"/>
              </w:rPr>
            </w:pPr>
            <w:r w:rsidRPr="48E1549F">
              <w:rPr>
                <w:rFonts w:ascii="Arial" w:eastAsia="Times New Roman" w:hAnsi="Arial" w:cs="Arial"/>
                <w:color w:val="auto"/>
                <w:sz w:val="24"/>
                <w:szCs w:val="24"/>
                <w:lang w:eastAsia="en-GB"/>
              </w:rPr>
              <w:t>Yes</w:t>
            </w:r>
          </w:p>
        </w:tc>
      </w:tr>
      <w:tr w:rsidR="008A116B" w:rsidRPr="00DE64C0" w14:paraId="426E966C"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1AF81" w14:textId="4521D51B" w:rsidR="008A116B"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Nr.12</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A575" w14:textId="1708C0D3" w:rsidR="008A116B" w:rsidRPr="00DE64C0" w:rsidRDefault="48E1549F" w:rsidP="48E1549F">
            <w:pPr>
              <w:jc w:val="both"/>
              <w:rPr>
                <w:rFonts w:ascii="Arial" w:eastAsia="Times New Roman" w:hAnsi="Arial" w:cs="Arial"/>
                <w:sz w:val="24"/>
                <w:szCs w:val="24"/>
                <w:highlight w:val="yellow"/>
                <w:lang w:val="en-ZA" w:eastAsia="en-GB"/>
              </w:rPr>
            </w:pPr>
            <w:r w:rsidRPr="48E1549F">
              <w:rPr>
                <w:rFonts w:ascii="Arial" w:eastAsia="Times New Roman" w:hAnsi="Arial" w:cs="Arial"/>
                <w:sz w:val="24"/>
                <w:szCs w:val="24"/>
                <w:lang w:val="en-ZA" w:eastAsia="en-GB"/>
              </w:rPr>
              <w:t xml:space="preserve">Section 5.2 of the Terms of Reference sets an intended start date of 1st July 2026. Given the proposal submission deadline of 20th April 2026 and the evaluation, award, and contract signature processes that must follow, kindly </w:t>
            </w:r>
            <w:r w:rsidRPr="48E1549F">
              <w:rPr>
                <w:rFonts w:ascii="Arial" w:eastAsia="Times New Roman" w:hAnsi="Arial" w:cs="Arial"/>
                <w:sz w:val="24"/>
                <w:szCs w:val="24"/>
                <w:lang w:val="en-ZA" w:eastAsia="en-GB"/>
              </w:rPr>
              <w:lastRenderedPageBreak/>
              <w:t>confirm whether the 1st July 2026 commencement date remains firm, and advise the minimum mobilisation period that will be afforded to the successful Contractor following contract signature</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38D2" w14:textId="4473C684" w:rsidR="008A116B" w:rsidRPr="00DE64C0"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lastRenderedPageBreak/>
              <w:t>The commencement date may be reset at contracting stage.</w:t>
            </w:r>
          </w:p>
        </w:tc>
      </w:tr>
      <w:tr w:rsidR="00601D5C" w:rsidRPr="00DE64C0" w14:paraId="7CADF37D"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2AAA" w14:textId="33C53F6B" w:rsidR="00601D5C"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Nr.13</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59C1E" w14:textId="4C36981E" w:rsidR="00601D5C" w:rsidRPr="00DE64C0" w:rsidRDefault="48E1549F" w:rsidP="48E1549F">
            <w:pPr>
              <w:jc w:val="both"/>
              <w:rPr>
                <w:rFonts w:ascii="Arial" w:eastAsia="Times New Roman" w:hAnsi="Arial" w:cs="Arial"/>
                <w:sz w:val="24"/>
                <w:szCs w:val="24"/>
                <w:highlight w:val="yellow"/>
                <w:lang w:val="en-ZA" w:eastAsia="en-GB"/>
              </w:rPr>
            </w:pPr>
            <w:r w:rsidRPr="48E1549F">
              <w:rPr>
                <w:rFonts w:ascii="Arial" w:hAnsi="Arial" w:cs="Arial"/>
                <w:sz w:val="24"/>
                <w:szCs w:val="24"/>
              </w:rPr>
              <w:t>Kindly confirm whether SADC is tax exempt? This information will help us in preparation of the financial proposal</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2F501" w14:textId="0E28FB04" w:rsidR="00601D5C" w:rsidRPr="00DE64C0"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t>SADC Secretariat is exempt from any form of tax. However, individual consultants/firms are subject to local income tax or exempt under specific SADC rules depending on their contract.</w:t>
            </w:r>
          </w:p>
        </w:tc>
      </w:tr>
      <w:tr w:rsidR="00601D5C" w:rsidRPr="00DE64C0" w14:paraId="7876216E"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270A" w14:textId="3CD2963E" w:rsidR="00601D5C"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Nr.14</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8C08C" w14:textId="77777777" w:rsidR="00601D5C" w:rsidRPr="00DE64C0" w:rsidRDefault="48E1549F" w:rsidP="48E1549F">
            <w:pPr>
              <w:jc w:val="both"/>
              <w:rPr>
                <w:rFonts w:ascii="Arial" w:hAnsi="Arial" w:cs="Arial"/>
                <w:sz w:val="24"/>
                <w:szCs w:val="24"/>
              </w:rPr>
            </w:pPr>
            <w:r w:rsidRPr="48E1549F">
              <w:rPr>
                <w:rFonts w:ascii="Arial" w:hAnsi="Arial" w:cs="Arial"/>
                <w:sz w:val="24"/>
                <w:szCs w:val="24"/>
              </w:rPr>
              <w:t>We note that the contract is structured as a global price with no reimbursable expenses. Could you kindly confirm whether all costs, including travel, accommodation, stakeholder engagement activities, and logistical requirements, are expected to be fully included within the lump sum financial proposal?</w:t>
            </w:r>
          </w:p>
          <w:p w14:paraId="13837663" w14:textId="096D0D75" w:rsidR="00EF4AF6" w:rsidRPr="00DE64C0" w:rsidRDefault="48E1549F" w:rsidP="48E1549F">
            <w:pPr>
              <w:spacing w:line="278" w:lineRule="auto"/>
              <w:jc w:val="both"/>
              <w:rPr>
                <w:rFonts w:ascii="Arial" w:hAnsi="Arial" w:cs="Arial"/>
                <w:sz w:val="24"/>
                <w:szCs w:val="24"/>
              </w:rPr>
            </w:pPr>
            <w:r w:rsidRPr="48E1549F">
              <w:rPr>
                <w:rFonts w:ascii="Arial" w:hAnsi="Arial" w:cs="Arial"/>
                <w:sz w:val="24"/>
                <w:szCs w:val="24"/>
              </w:rPr>
              <w:t xml:space="preserve">Are there expectations for full-time presence in Gaborone or is a hybrid approach feasible? </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5A59" w14:textId="661FD4BB" w:rsidR="00601D5C"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t>All costs must be included in the financial proposal.</w:t>
            </w:r>
          </w:p>
          <w:p w14:paraId="7091D104" w14:textId="77777777" w:rsidR="00AE3624" w:rsidRDefault="00AE3624" w:rsidP="48E1549F">
            <w:pPr>
              <w:rPr>
                <w:rFonts w:ascii="Arial" w:eastAsia="Times New Roman" w:hAnsi="Arial" w:cs="Arial"/>
                <w:sz w:val="24"/>
                <w:szCs w:val="24"/>
                <w:lang w:eastAsia="en-GB"/>
              </w:rPr>
            </w:pPr>
          </w:p>
          <w:p w14:paraId="2215D0CB" w14:textId="7F792F65" w:rsidR="00AE3624" w:rsidRDefault="00EA4631" w:rsidP="48E1549F">
            <w:pPr>
              <w:rPr>
                <w:rFonts w:ascii="Arial" w:eastAsia="Times New Roman" w:hAnsi="Arial" w:cs="Arial"/>
                <w:sz w:val="24"/>
                <w:szCs w:val="24"/>
                <w:lang w:eastAsia="en-GB"/>
              </w:rPr>
            </w:pPr>
            <w:r w:rsidRPr="48E1549F">
              <w:rPr>
                <w:rFonts w:ascii="Arial" w:eastAsia="Times New Roman" w:hAnsi="Arial" w:cs="Arial"/>
                <w:sz w:val="24"/>
                <w:szCs w:val="24"/>
                <w14:ligatures w14:val="none"/>
              </w:rPr>
              <w:t>The bidder shall outline methodology and working modality that enable delivery of services as required in this bidding document.</w:t>
            </w:r>
          </w:p>
          <w:p w14:paraId="6CF5886F" w14:textId="77777777" w:rsidR="00AE3624" w:rsidRPr="00FE78AC" w:rsidRDefault="00AE3624" w:rsidP="48E1549F">
            <w:pPr>
              <w:rPr>
                <w:rFonts w:ascii="Arial" w:eastAsia="Times New Roman" w:hAnsi="Arial" w:cs="Arial"/>
                <w:sz w:val="24"/>
                <w:szCs w:val="24"/>
                <w:lang w:eastAsia="en-GB"/>
              </w:rPr>
            </w:pPr>
          </w:p>
          <w:p w14:paraId="35617FF1" w14:textId="731F36DB" w:rsidR="00FD368D" w:rsidRPr="00DE64C0" w:rsidRDefault="00FD368D" w:rsidP="48E1549F">
            <w:pPr>
              <w:rPr>
                <w:rFonts w:ascii="Arial" w:eastAsia="Times New Roman" w:hAnsi="Arial" w:cs="Arial"/>
                <w:sz w:val="24"/>
                <w:szCs w:val="24"/>
                <w:lang w:eastAsia="en-GB"/>
              </w:rPr>
            </w:pPr>
          </w:p>
        </w:tc>
      </w:tr>
      <w:tr w:rsidR="00006C9E" w:rsidRPr="00DE64C0" w14:paraId="75A4457C"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DAB28" w14:textId="195E3483" w:rsidR="00006C9E"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Nr.15</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A578" w14:textId="52B7F443" w:rsidR="00006C9E" w:rsidRPr="00DE64C0" w:rsidRDefault="00DA6059" w:rsidP="48E1549F">
            <w:pPr>
              <w:jc w:val="both"/>
              <w:rPr>
                <w:rFonts w:ascii="Arial" w:hAnsi="Arial" w:cs="Arial"/>
                <w:sz w:val="24"/>
                <w:szCs w:val="24"/>
              </w:rPr>
            </w:pPr>
            <w:r w:rsidRPr="48E1549F">
              <w:rPr>
                <w:rFonts w:ascii="Arial" w:eastAsia="Aptos" w:hAnsi="Arial" w:cs="Arial"/>
                <w:kern w:val="2"/>
                <w:sz w:val="24"/>
                <w:szCs w:val="24"/>
              </w:rPr>
              <w:t>Could the 2022 workload analysis report be shared in full to enable alignment with prior findings and avoid duplication of effort?</w:t>
            </w:r>
          </w:p>
          <w:p w14:paraId="797BF08C" w14:textId="5C91804B" w:rsidR="00006C9E" w:rsidRPr="00DE64C0" w:rsidRDefault="48E1549F" w:rsidP="48E1549F">
            <w:pPr>
              <w:jc w:val="both"/>
              <w:rPr>
                <w:rFonts w:ascii="Arial" w:hAnsi="Arial" w:cs="Arial"/>
                <w:sz w:val="24"/>
                <w:szCs w:val="24"/>
              </w:rPr>
            </w:pPr>
            <w:r w:rsidRPr="48E1549F">
              <w:rPr>
                <w:rFonts w:ascii="Arial" w:hAnsi="Arial" w:cs="Arial"/>
                <w:sz w:val="24"/>
                <w:szCs w:val="24"/>
              </w:rPr>
              <w:t>Additionally, could you indicate/share which recommendations from the 2022 exercise have already been implemented, and any key lessons emerging from that process?</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A7D8" w14:textId="77777777" w:rsidR="00FE78AC" w:rsidRPr="00DE64C0" w:rsidRDefault="00FE78AC" w:rsidP="48E1549F">
            <w:pPr>
              <w:rPr>
                <w:rFonts w:ascii="Arial" w:eastAsia="Times New Roman" w:hAnsi="Arial" w:cs="Arial"/>
                <w:sz w:val="24"/>
                <w:szCs w:val="24"/>
                <w14:ligatures w14:val="none"/>
              </w:rPr>
            </w:pPr>
            <w:r w:rsidRPr="48E1549F">
              <w:rPr>
                <w:rFonts w:ascii="Arial" w:eastAsia="Times New Roman" w:hAnsi="Arial" w:cs="Arial"/>
                <w:sz w:val="24"/>
                <w:szCs w:val="24"/>
                <w:lang w:val="en-ZA"/>
                <w14:ligatures w14:val="none"/>
              </w:rPr>
              <w:t>A</w:t>
            </w:r>
            <w:r w:rsidRPr="48E1549F">
              <w:rPr>
                <w:rFonts w:ascii="Arial" w:eastAsia="Times New Roman" w:hAnsi="Arial" w:cs="Arial"/>
                <w:sz w:val="24"/>
                <w:szCs w:val="24"/>
                <w14:ligatures w14:val="none"/>
              </w:rPr>
              <w:t>ccess to confidential document(s) shall be provided to the successful bidder.</w:t>
            </w:r>
          </w:p>
          <w:p w14:paraId="35C12C2E" w14:textId="77777777" w:rsidR="00006C9E" w:rsidRPr="00DE64C0" w:rsidRDefault="00006C9E" w:rsidP="48E1549F">
            <w:pPr>
              <w:rPr>
                <w:rFonts w:ascii="Arial" w:eastAsia="Times New Roman" w:hAnsi="Arial" w:cs="Arial"/>
                <w:sz w:val="24"/>
                <w:szCs w:val="24"/>
                <w:lang w:eastAsia="en-GB"/>
              </w:rPr>
            </w:pPr>
          </w:p>
          <w:p w14:paraId="22C834F4" w14:textId="68A216EE" w:rsidR="00FD368D" w:rsidRPr="00DE64C0" w:rsidRDefault="00FD368D" w:rsidP="48E1549F">
            <w:pPr>
              <w:rPr>
                <w:rFonts w:ascii="Arial" w:eastAsia="Times New Roman" w:hAnsi="Arial" w:cs="Arial"/>
                <w:sz w:val="24"/>
                <w:szCs w:val="24"/>
                <w:lang w:eastAsia="en-GB"/>
              </w:rPr>
            </w:pPr>
          </w:p>
        </w:tc>
      </w:tr>
      <w:tr w:rsidR="00A82F3B" w:rsidRPr="00DE64C0" w14:paraId="3D528085"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CFE52" w14:textId="787C7DC1" w:rsidR="00A82F3B"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Nr.16</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0F55F" w14:textId="77777777" w:rsidR="00A82F3B" w:rsidRPr="00DE64C0" w:rsidRDefault="48E1549F" w:rsidP="48E1549F">
            <w:pPr>
              <w:jc w:val="both"/>
              <w:rPr>
                <w:rFonts w:ascii="Arial" w:hAnsi="Arial" w:cs="Arial"/>
                <w:sz w:val="24"/>
                <w:szCs w:val="24"/>
              </w:rPr>
            </w:pPr>
            <w:r w:rsidRPr="48E1549F">
              <w:rPr>
                <w:rFonts w:ascii="Arial" w:hAnsi="Arial" w:cs="Arial"/>
                <w:sz w:val="24"/>
                <w:szCs w:val="24"/>
              </w:rPr>
              <w:t>While the TOR provides a high-level overview of the Secretariat’s structure, could you kindly share a more detailed organisational structure (organogram), including the number of directorates, units, and indicative staffing levels per function, to support accurate scoping of the assignment?</w:t>
            </w:r>
          </w:p>
          <w:p w14:paraId="66657E88" w14:textId="4B3E8287" w:rsidR="00A82F3B" w:rsidRPr="00DE64C0" w:rsidRDefault="00C77779" w:rsidP="48E1549F">
            <w:pPr>
              <w:jc w:val="both"/>
              <w:rPr>
                <w:rFonts w:ascii="Arial" w:eastAsia="Aptos" w:hAnsi="Arial" w:cs="Arial"/>
                <w:kern w:val="2"/>
                <w:sz w:val="24"/>
                <w:szCs w:val="24"/>
              </w:rPr>
            </w:pPr>
            <w:r w:rsidRPr="48E1549F">
              <w:rPr>
                <w:rFonts w:ascii="Arial" w:eastAsia="Aptos" w:hAnsi="Arial" w:cs="Arial"/>
                <w:kern w:val="2"/>
                <w:sz w:val="24"/>
                <w:szCs w:val="24"/>
              </w:rPr>
              <w:lastRenderedPageBreak/>
              <w:t xml:space="preserve">What is </w:t>
            </w:r>
            <w:r w:rsidR="001D1634" w:rsidRPr="48E1549F">
              <w:rPr>
                <w:rFonts w:ascii="Arial" w:eastAsia="Aptos" w:hAnsi="Arial" w:cs="Arial"/>
                <w:kern w:val="2"/>
                <w:sz w:val="24"/>
                <w:szCs w:val="24"/>
              </w:rPr>
              <w:t xml:space="preserve">current </w:t>
            </w:r>
            <w:r w:rsidR="00483B20" w:rsidRPr="48E1549F">
              <w:rPr>
                <w:rFonts w:ascii="Arial" w:eastAsia="Aptos" w:hAnsi="Arial" w:cs="Arial"/>
                <w:kern w:val="2"/>
                <w:sz w:val="24"/>
                <w:szCs w:val="24"/>
              </w:rPr>
              <w:t>staff</w:t>
            </w:r>
            <w:r w:rsidR="001D1634" w:rsidRPr="48E1549F">
              <w:rPr>
                <w:rFonts w:ascii="Arial" w:eastAsia="Aptos" w:hAnsi="Arial" w:cs="Arial"/>
                <w:kern w:val="2"/>
                <w:sz w:val="24"/>
                <w:szCs w:val="24"/>
              </w:rPr>
              <w:t xml:space="preserve"> headcount for </w:t>
            </w:r>
            <w:r w:rsidR="00483B20" w:rsidRPr="48E1549F">
              <w:rPr>
                <w:rFonts w:ascii="Arial" w:eastAsia="Aptos" w:hAnsi="Arial" w:cs="Arial"/>
                <w:kern w:val="2"/>
                <w:sz w:val="24"/>
                <w:szCs w:val="24"/>
              </w:rPr>
              <w:t>SADC Secretariat</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ECE4C" w14:textId="593C5642" w:rsidR="00FE78AC" w:rsidRPr="00DE64C0" w:rsidRDefault="00FE78AC" w:rsidP="48E1549F">
            <w:pPr>
              <w:rPr>
                <w:rFonts w:ascii="Arial" w:eastAsia="Times New Roman" w:hAnsi="Arial" w:cs="Arial"/>
                <w:sz w:val="24"/>
                <w:szCs w:val="24"/>
                <w14:ligatures w14:val="none"/>
              </w:rPr>
            </w:pPr>
            <w:r w:rsidRPr="48E1549F">
              <w:rPr>
                <w:rFonts w:ascii="Arial" w:eastAsia="Times New Roman" w:hAnsi="Arial" w:cs="Arial"/>
                <w:sz w:val="24"/>
                <w:szCs w:val="24"/>
                <w:lang w:val="en-ZA"/>
                <w14:ligatures w14:val="none"/>
              </w:rPr>
              <w:lastRenderedPageBreak/>
              <w:t>A</w:t>
            </w:r>
            <w:r w:rsidRPr="48E1549F">
              <w:rPr>
                <w:rFonts w:ascii="Arial" w:eastAsia="Times New Roman" w:hAnsi="Arial" w:cs="Arial"/>
                <w:sz w:val="24"/>
                <w:szCs w:val="24"/>
                <w14:ligatures w14:val="none"/>
              </w:rPr>
              <w:t>ccess to confidential document(s) shall be provided to the successful bidder.</w:t>
            </w:r>
            <w:r w:rsidR="005A073C">
              <w:rPr>
                <w:rFonts w:ascii="Arial" w:eastAsia="Times New Roman" w:hAnsi="Arial" w:cs="Arial"/>
                <w:sz w:val="24"/>
                <w:szCs w:val="24"/>
                <w14:ligatures w14:val="none"/>
              </w:rPr>
              <w:t xml:space="preserve"> </w:t>
            </w:r>
            <w:r w:rsidR="005A073C" w:rsidRPr="48E1549F">
              <w:rPr>
                <w:rFonts w:ascii="Arial" w:eastAsia="Times New Roman" w:hAnsi="Arial" w:cs="Arial"/>
                <w:sz w:val="24"/>
                <w:szCs w:val="24"/>
                <w14:ligatures w14:val="none"/>
              </w:rPr>
              <w:t>The overall structure is attached.</w:t>
            </w:r>
          </w:p>
          <w:p w14:paraId="320CE6CE" w14:textId="77777777" w:rsidR="003F525F" w:rsidRPr="00DE64C0" w:rsidRDefault="003F525F" w:rsidP="48E1549F">
            <w:pPr>
              <w:rPr>
                <w:rFonts w:ascii="Arial" w:eastAsia="Times New Roman" w:hAnsi="Arial" w:cs="Arial"/>
                <w:sz w:val="24"/>
                <w:szCs w:val="24"/>
                <w14:ligatures w14:val="none"/>
              </w:rPr>
            </w:pPr>
          </w:p>
          <w:p w14:paraId="61AC1F03" w14:textId="47221D7C" w:rsidR="003F525F" w:rsidRPr="00DE64C0" w:rsidRDefault="003F525F" w:rsidP="48E1549F">
            <w:pPr>
              <w:rPr>
                <w:rFonts w:ascii="Arial" w:eastAsia="Times New Roman" w:hAnsi="Arial" w:cs="Arial"/>
                <w:sz w:val="24"/>
                <w:szCs w:val="24"/>
                <w14:ligatures w14:val="none"/>
              </w:rPr>
            </w:pPr>
            <w:r w:rsidRPr="48E1549F">
              <w:rPr>
                <w:rFonts w:ascii="Arial" w:eastAsia="Times New Roman" w:hAnsi="Arial" w:cs="Arial"/>
                <w:sz w:val="24"/>
                <w:szCs w:val="24"/>
                <w14:ligatures w14:val="none"/>
              </w:rPr>
              <w:t>The current staff headcount</w:t>
            </w:r>
            <w:r w:rsidR="005477A0" w:rsidRPr="48E1549F">
              <w:rPr>
                <w:rFonts w:ascii="Arial" w:eastAsia="Times New Roman" w:hAnsi="Arial" w:cs="Arial"/>
                <w:sz w:val="24"/>
                <w:szCs w:val="24"/>
                <w14:ligatures w14:val="none"/>
              </w:rPr>
              <w:t xml:space="preserve"> for SADC Secretariat</w:t>
            </w:r>
            <w:r w:rsidRPr="48E1549F">
              <w:rPr>
                <w:rFonts w:ascii="Arial" w:eastAsia="Times New Roman" w:hAnsi="Arial" w:cs="Arial"/>
                <w:sz w:val="24"/>
                <w:szCs w:val="24"/>
                <w14:ligatures w14:val="none"/>
              </w:rPr>
              <w:t xml:space="preserve"> is </w:t>
            </w:r>
            <w:r w:rsidR="00423A7C" w:rsidRPr="48E1549F">
              <w:rPr>
                <w:rFonts w:ascii="Arial" w:eastAsia="Times New Roman" w:hAnsi="Arial" w:cs="Arial"/>
                <w:sz w:val="24"/>
                <w:szCs w:val="24"/>
                <w14:ligatures w14:val="none"/>
              </w:rPr>
              <w:t>29</w:t>
            </w:r>
            <w:r w:rsidR="005419DC" w:rsidRPr="48E1549F">
              <w:rPr>
                <w:rFonts w:ascii="Arial" w:eastAsia="Times New Roman" w:hAnsi="Arial" w:cs="Arial"/>
                <w:sz w:val="24"/>
                <w:szCs w:val="24"/>
                <w14:ligatures w14:val="none"/>
              </w:rPr>
              <w:t>6</w:t>
            </w:r>
            <w:r w:rsidR="00423A7C" w:rsidRPr="48E1549F">
              <w:rPr>
                <w:rFonts w:ascii="Arial" w:eastAsia="Times New Roman" w:hAnsi="Arial" w:cs="Arial"/>
                <w:sz w:val="24"/>
                <w:szCs w:val="24"/>
                <w14:ligatures w14:val="none"/>
              </w:rPr>
              <w:t>.</w:t>
            </w:r>
          </w:p>
          <w:p w14:paraId="5EB4133A" w14:textId="6C34BEFF" w:rsidR="00A82F3B" w:rsidRPr="00DE64C0" w:rsidRDefault="00A82F3B" w:rsidP="48E1549F">
            <w:pPr>
              <w:rPr>
                <w:rFonts w:ascii="Arial" w:eastAsia="Times New Roman" w:hAnsi="Arial" w:cs="Arial"/>
                <w:sz w:val="24"/>
                <w:szCs w:val="24"/>
                <w:lang w:eastAsia="en-GB"/>
              </w:rPr>
            </w:pPr>
          </w:p>
        </w:tc>
      </w:tr>
      <w:tr w:rsidR="00A57D78" w:rsidRPr="00DE64C0" w14:paraId="36A3ABCE"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1801A" w14:textId="0538FCF4" w:rsidR="00A57D78"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Nr.17</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C6CB2" w14:textId="736437E0" w:rsidR="00A57D78" w:rsidRPr="00DE64C0" w:rsidRDefault="48E1549F" w:rsidP="48E1549F">
            <w:pPr>
              <w:jc w:val="both"/>
              <w:rPr>
                <w:rFonts w:ascii="Arial" w:hAnsi="Arial" w:cs="Arial"/>
                <w:sz w:val="24"/>
                <w:szCs w:val="24"/>
              </w:rPr>
            </w:pPr>
            <w:r w:rsidRPr="48E1549F">
              <w:rPr>
                <w:rFonts w:ascii="Arial" w:hAnsi="Arial" w:cs="Arial"/>
                <w:sz w:val="24"/>
                <w:szCs w:val="24"/>
              </w:rPr>
              <w:t>Can the consultant suggest additional staff in the new structure or their role will be to restructure only?</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5B848" w14:textId="77777777" w:rsidR="00D55820" w:rsidRPr="00D55820" w:rsidRDefault="48E1549F" w:rsidP="48E1549F">
            <w:pPr>
              <w:jc w:val="both"/>
              <w:rPr>
                <w:rFonts w:ascii="Arial" w:eastAsia="Times New Roman" w:hAnsi="Arial" w:cs="Arial"/>
                <w:sz w:val="24"/>
                <w:szCs w:val="24"/>
              </w:rPr>
            </w:pPr>
            <w:r w:rsidRPr="48E1549F">
              <w:rPr>
                <w:rFonts w:ascii="Arial" w:eastAsia="Times New Roman" w:hAnsi="Arial" w:cs="Arial"/>
                <w:sz w:val="24"/>
                <w:szCs w:val="24"/>
              </w:rPr>
              <w:t>The successful bidder is expected to independently analyse and reorganise the SADC Secretariat Structure and Staff complement and provide Final Report and Presentation, including an implementation roadmap for the proposed realigned structure as stipulated in the Term of References.</w:t>
            </w:r>
          </w:p>
          <w:p w14:paraId="154296E6" w14:textId="77777777" w:rsidR="00A57D78" w:rsidRPr="00D55820" w:rsidRDefault="00A57D78" w:rsidP="48E1549F">
            <w:pPr>
              <w:rPr>
                <w:rFonts w:ascii="Arial" w:eastAsia="Times New Roman" w:hAnsi="Arial" w:cs="Arial"/>
                <w:sz w:val="24"/>
                <w:szCs w:val="24"/>
                <w:lang w:val="en-ZA" w:eastAsia="en-GB"/>
              </w:rPr>
            </w:pPr>
          </w:p>
        </w:tc>
      </w:tr>
      <w:tr w:rsidR="00A57D78" w:rsidRPr="00DE64C0" w14:paraId="6B1F33D4"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931BA" w14:textId="1D3C5FF4" w:rsidR="00A57D78"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Nr.18</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5A0C8" w14:textId="7A32080E" w:rsidR="00A57D78" w:rsidRPr="00DE64C0" w:rsidRDefault="48E1549F" w:rsidP="48E1549F">
            <w:pPr>
              <w:jc w:val="both"/>
              <w:rPr>
                <w:rFonts w:ascii="Arial" w:hAnsi="Arial" w:cs="Arial"/>
                <w:sz w:val="24"/>
                <w:szCs w:val="24"/>
              </w:rPr>
            </w:pPr>
            <w:r w:rsidRPr="48E1549F">
              <w:rPr>
                <w:rFonts w:ascii="Arial" w:hAnsi="Arial" w:cs="Arial"/>
                <w:sz w:val="24"/>
                <w:szCs w:val="24"/>
              </w:rPr>
              <w:t>Please clarify if the experienced employee cuts mentioned in the data document was as a result of work overload.</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60E4C" w14:textId="30E9C8A0" w:rsidR="00A57D78" w:rsidRPr="00DE64C0"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t xml:space="preserve">Yes, in some instances. </w:t>
            </w:r>
          </w:p>
        </w:tc>
      </w:tr>
      <w:tr w:rsidR="009724B0" w:rsidRPr="00DE64C0" w14:paraId="7A39455B"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06F47" w14:textId="08465722" w:rsidR="009724B0"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Nr.19</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99FC7" w14:textId="2C067C4C" w:rsidR="009724B0" w:rsidRPr="00DE64C0" w:rsidRDefault="48E1549F" w:rsidP="48E1549F">
            <w:pPr>
              <w:jc w:val="both"/>
              <w:rPr>
                <w:rFonts w:ascii="Arial" w:hAnsi="Arial" w:cs="Arial"/>
                <w:sz w:val="24"/>
                <w:szCs w:val="24"/>
              </w:rPr>
            </w:pPr>
            <w:r w:rsidRPr="48E1549F">
              <w:rPr>
                <w:rFonts w:ascii="Arial" w:hAnsi="Arial" w:cs="Arial"/>
                <w:sz w:val="24"/>
                <w:szCs w:val="24"/>
              </w:rPr>
              <w:t>Will there be a prebid conference - virtual?</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37CD7" w14:textId="236D9FBB" w:rsidR="009724B0" w:rsidRPr="00DE64C0" w:rsidRDefault="48E1549F" w:rsidP="48E1549F">
            <w:pPr>
              <w:rPr>
                <w:rFonts w:ascii="Arial" w:eastAsia="Times New Roman" w:hAnsi="Arial" w:cs="Arial"/>
                <w:sz w:val="24"/>
                <w:szCs w:val="24"/>
                <w:lang w:eastAsia="en-GB"/>
              </w:rPr>
            </w:pPr>
            <w:r w:rsidRPr="48E1549F">
              <w:rPr>
                <w:rFonts w:ascii="Arial" w:eastAsia="Times New Roman" w:hAnsi="Arial" w:cs="Arial"/>
                <w:sz w:val="24"/>
                <w:szCs w:val="24"/>
                <w:lang w:eastAsia="en-GB"/>
              </w:rPr>
              <w:t>No</w:t>
            </w:r>
          </w:p>
        </w:tc>
      </w:tr>
      <w:tr w:rsidR="00937D82" w:rsidRPr="00DE64C0" w14:paraId="1F7CCC73"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C8406" w14:textId="08FAEC14" w:rsidR="00937D82"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Nr.20</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1C147" w14:textId="140672EF" w:rsidR="00937D82" w:rsidRPr="00DE64C0" w:rsidRDefault="48E1549F" w:rsidP="48E1549F">
            <w:pPr>
              <w:jc w:val="both"/>
              <w:rPr>
                <w:rFonts w:ascii="Arial" w:hAnsi="Arial" w:cs="Arial"/>
                <w:sz w:val="24"/>
                <w:szCs w:val="24"/>
              </w:rPr>
            </w:pPr>
            <w:r w:rsidRPr="48E1549F">
              <w:rPr>
                <w:rFonts w:ascii="Arial" w:hAnsi="Arial" w:cs="Arial"/>
                <w:sz w:val="24"/>
                <w:szCs w:val="24"/>
              </w:rPr>
              <w:t>Please confirm mode of submission for bid whether it's both physical or electronically too with password protection</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13732" w14:textId="77777777" w:rsidR="002E17F4" w:rsidRPr="002E17F4" w:rsidRDefault="48E1549F" w:rsidP="002E17F4">
            <w:pPr>
              <w:rPr>
                <w:rFonts w:ascii="Arial" w:eastAsia="Times New Roman" w:hAnsi="Arial" w:cs="Arial"/>
                <w:sz w:val="24"/>
                <w:szCs w:val="24"/>
                <w:lang w:eastAsia="en-GB"/>
              </w:rPr>
            </w:pPr>
            <w:r w:rsidRPr="48E1549F">
              <w:rPr>
                <w:rFonts w:ascii="Arial" w:eastAsia="Times New Roman" w:hAnsi="Arial" w:cs="Arial"/>
                <w:sz w:val="24"/>
                <w:szCs w:val="24"/>
                <w:lang w:eastAsia="en-GB"/>
              </w:rPr>
              <w:t>The submission will be done electronically through the link in the RFP</w:t>
            </w:r>
            <w:r w:rsidR="002E17F4">
              <w:rPr>
                <w:rFonts w:ascii="Arial" w:eastAsia="Times New Roman" w:hAnsi="Arial" w:cs="Arial"/>
                <w:sz w:val="24"/>
                <w:szCs w:val="24"/>
                <w:lang w:eastAsia="en-GB"/>
              </w:rPr>
              <w:t xml:space="preserve">. Note that under Data Sheet 4.3 </w:t>
            </w:r>
            <w:r w:rsidR="002E17F4" w:rsidRPr="002E17F4">
              <w:rPr>
                <w:rFonts w:ascii="Arial" w:eastAsia="Times New Roman" w:hAnsi="Arial" w:cs="Arial"/>
                <w:sz w:val="24"/>
                <w:szCs w:val="24"/>
                <w:lang w:eastAsia="en-GB"/>
              </w:rPr>
              <w:t>Bidders must submit electronic version of the technical proposal only in</w:t>
            </w:r>
          </w:p>
          <w:p w14:paraId="6F1EB915" w14:textId="02525598" w:rsidR="002E17F4" w:rsidRDefault="002E17F4" w:rsidP="002E17F4">
            <w:pPr>
              <w:rPr>
                <w:rFonts w:ascii="Arial" w:eastAsia="Times New Roman" w:hAnsi="Arial" w:cs="Arial"/>
                <w:sz w:val="24"/>
                <w:szCs w:val="24"/>
                <w:lang w:eastAsia="en-GB"/>
              </w:rPr>
            </w:pPr>
            <w:r w:rsidRPr="002E17F4">
              <w:rPr>
                <w:rFonts w:ascii="Arial" w:eastAsia="Times New Roman" w:hAnsi="Arial" w:cs="Arial"/>
                <w:sz w:val="24"/>
                <w:szCs w:val="24"/>
                <w:lang w:eastAsia="en-GB"/>
              </w:rPr>
              <w:t>PDF Format</w:t>
            </w:r>
            <w:r>
              <w:rPr>
                <w:rFonts w:ascii="Arial" w:eastAsia="Times New Roman" w:hAnsi="Arial" w:cs="Arial"/>
                <w:sz w:val="24"/>
                <w:szCs w:val="24"/>
                <w:lang w:eastAsia="en-GB"/>
              </w:rPr>
              <w:t>. Bidders submitting both Technical and Financial proposals at this stage will be disqualified.</w:t>
            </w:r>
          </w:p>
          <w:p w14:paraId="4960BE99" w14:textId="3BB6CE8D" w:rsidR="00937D82" w:rsidRPr="00DE64C0" w:rsidRDefault="002E17F4" w:rsidP="002E17F4">
            <w:pPr>
              <w:rPr>
                <w:rFonts w:ascii="Arial" w:eastAsia="Times New Roman" w:hAnsi="Arial" w:cs="Arial"/>
                <w:sz w:val="24"/>
                <w:szCs w:val="24"/>
                <w:lang w:eastAsia="en-GB"/>
              </w:rPr>
            </w:pPr>
            <w:r>
              <w:rPr>
                <w:rFonts w:ascii="Arial" w:eastAsia="Times New Roman" w:hAnsi="Arial" w:cs="Arial"/>
                <w:sz w:val="24"/>
                <w:szCs w:val="24"/>
                <w:lang w:eastAsia="en-GB"/>
              </w:rPr>
              <w:t xml:space="preserve"> </w:t>
            </w:r>
          </w:p>
        </w:tc>
      </w:tr>
      <w:tr w:rsidR="009A432C" w:rsidRPr="00DE64C0" w14:paraId="283F13D1"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34805" w14:textId="55F497A6" w:rsidR="009A432C" w:rsidRPr="00DE64C0" w:rsidRDefault="48E1549F" w:rsidP="48E1549F">
            <w:pPr>
              <w:rPr>
                <w:rFonts w:ascii="Arial" w:eastAsia="Maiandra GD" w:hAnsi="Arial" w:cs="Arial"/>
                <w:sz w:val="24"/>
                <w:szCs w:val="24"/>
              </w:rPr>
            </w:pPr>
            <w:r w:rsidRPr="48E1549F">
              <w:rPr>
                <w:rFonts w:ascii="Arial" w:eastAsia="Maiandra GD" w:hAnsi="Arial" w:cs="Arial"/>
                <w:sz w:val="24"/>
                <w:szCs w:val="24"/>
              </w:rPr>
              <w:t>Nr.21</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EC302" w14:textId="35A84987" w:rsidR="009A432C" w:rsidRPr="00DE64C0" w:rsidRDefault="48E1549F" w:rsidP="48E1549F">
            <w:pPr>
              <w:jc w:val="both"/>
              <w:rPr>
                <w:rFonts w:ascii="Arial" w:hAnsi="Arial" w:cs="Arial"/>
                <w:sz w:val="24"/>
                <w:szCs w:val="24"/>
              </w:rPr>
            </w:pPr>
            <w:r w:rsidRPr="48E1549F">
              <w:rPr>
                <w:rFonts w:ascii="Arial" w:hAnsi="Arial" w:cs="Arial"/>
                <w:sz w:val="24"/>
                <w:szCs w:val="24"/>
              </w:rPr>
              <w:t>You have already undertaken an analysis. Please clarify if the consultant will also need to do an independent assessment?</w:t>
            </w:r>
            <w:r w:rsidR="009A432C">
              <w:br/>
            </w:r>
            <w:r w:rsidRPr="48E1549F">
              <w:rPr>
                <w:rFonts w:ascii="Arial" w:hAnsi="Arial" w:cs="Arial"/>
                <w:sz w:val="24"/>
                <w:szCs w:val="24"/>
              </w:rPr>
              <w:t>3. Is the consultant expected to review SADC's result before/ during Inception stage</w:t>
            </w:r>
            <w:r w:rsidR="009A432C">
              <w:br/>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38410" w14:textId="77777777" w:rsidR="005D06DD" w:rsidRPr="00D55820" w:rsidRDefault="48E1549F" w:rsidP="48E1549F">
            <w:pPr>
              <w:jc w:val="both"/>
              <w:rPr>
                <w:rFonts w:ascii="Arial" w:eastAsia="Times New Roman" w:hAnsi="Arial" w:cs="Arial"/>
                <w:sz w:val="24"/>
                <w:szCs w:val="24"/>
              </w:rPr>
            </w:pPr>
            <w:r w:rsidRPr="48E1549F">
              <w:rPr>
                <w:rFonts w:ascii="Arial" w:eastAsia="Times New Roman" w:hAnsi="Arial" w:cs="Arial"/>
                <w:sz w:val="24"/>
                <w:szCs w:val="24"/>
              </w:rPr>
              <w:t>The successful bidder is expected to independently analyse and reorganise the SADC Secretariat Structure and Staff complement and provide Final Report and Presentation, including an implementation roadmap for the proposed realigned structure as stipulated in the Term of References.</w:t>
            </w:r>
          </w:p>
          <w:p w14:paraId="372BD960" w14:textId="30D90076" w:rsidR="009A432C" w:rsidRPr="00DE64C0" w:rsidRDefault="009A432C" w:rsidP="48E1549F">
            <w:pPr>
              <w:rPr>
                <w:rFonts w:ascii="Arial" w:eastAsia="Times New Roman" w:hAnsi="Arial" w:cs="Arial"/>
                <w:sz w:val="24"/>
                <w:szCs w:val="24"/>
                <w:lang w:eastAsia="en-GB"/>
              </w:rPr>
            </w:pPr>
          </w:p>
        </w:tc>
      </w:tr>
      <w:tr w:rsidR="68AC55AA" w14:paraId="7ABDE0D4"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78C7" w14:textId="3488AA4E" w:rsidR="68AC55AA" w:rsidRDefault="48E1549F" w:rsidP="48E1549F">
            <w:pPr>
              <w:rPr>
                <w:rFonts w:ascii="Arial" w:eastAsia="Maiandra GD" w:hAnsi="Arial" w:cs="Arial"/>
                <w:sz w:val="24"/>
                <w:szCs w:val="24"/>
              </w:rPr>
            </w:pPr>
            <w:r w:rsidRPr="48E1549F">
              <w:rPr>
                <w:rFonts w:ascii="Arial" w:eastAsia="Maiandra GD" w:hAnsi="Arial" w:cs="Arial"/>
                <w:sz w:val="24"/>
                <w:szCs w:val="24"/>
              </w:rPr>
              <w:t>Nr.22</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F3F2" w14:textId="72D951E5" w:rsidR="68AC55AA" w:rsidRDefault="48E1549F" w:rsidP="48E1549F">
            <w:pPr>
              <w:jc w:val="both"/>
              <w:rPr>
                <w:rFonts w:ascii="Arial" w:hAnsi="Arial" w:cs="Arial"/>
                <w:sz w:val="24"/>
                <w:szCs w:val="24"/>
              </w:rPr>
            </w:pPr>
            <w:r w:rsidRPr="48E1549F">
              <w:rPr>
                <w:rFonts w:ascii="Arial" w:hAnsi="Arial" w:cs="Arial"/>
                <w:sz w:val="24"/>
                <w:szCs w:val="24"/>
              </w:rPr>
              <w:t>Can you please confirm if aside of the two experts the bidders can include additional experts as non key experts</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FFA91" w14:textId="1C589D89" w:rsidR="68AC55AA" w:rsidRDefault="48E1549F" w:rsidP="48E1549F">
            <w:pPr>
              <w:jc w:val="both"/>
              <w:rPr>
                <w:rFonts w:ascii="Arial" w:eastAsia="Times New Roman" w:hAnsi="Arial" w:cs="Arial"/>
                <w:sz w:val="24"/>
                <w:szCs w:val="24"/>
              </w:rPr>
            </w:pPr>
            <w:r w:rsidRPr="48E1549F">
              <w:rPr>
                <w:rFonts w:ascii="Arial" w:eastAsia="Times New Roman" w:hAnsi="Arial" w:cs="Arial"/>
                <w:sz w:val="24"/>
                <w:szCs w:val="24"/>
              </w:rPr>
              <w:t>Yes, but the two experts will be evaluated</w:t>
            </w:r>
          </w:p>
        </w:tc>
      </w:tr>
      <w:tr w:rsidR="48E1549F" w14:paraId="2121FD27"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E8261" w14:textId="456929CD" w:rsidR="48E1549F" w:rsidRDefault="48E1549F" w:rsidP="48E1549F">
            <w:pPr>
              <w:rPr>
                <w:rFonts w:ascii="Arial" w:eastAsia="Maiandra GD" w:hAnsi="Arial" w:cs="Arial"/>
                <w:sz w:val="24"/>
                <w:szCs w:val="24"/>
              </w:rPr>
            </w:pPr>
            <w:r w:rsidRPr="48E1549F">
              <w:rPr>
                <w:rFonts w:ascii="Arial" w:eastAsia="Maiandra GD" w:hAnsi="Arial" w:cs="Arial"/>
                <w:sz w:val="24"/>
                <w:szCs w:val="24"/>
              </w:rPr>
              <w:t>Nr.23</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D6ED9" w14:textId="4C1A3ADD" w:rsidR="48E1549F" w:rsidRDefault="48E1549F" w:rsidP="48E1549F">
            <w:pPr>
              <w:jc w:val="both"/>
              <w:rPr>
                <w:rFonts w:ascii="Arial" w:hAnsi="Arial" w:cs="Arial"/>
                <w:sz w:val="24"/>
                <w:szCs w:val="24"/>
              </w:rPr>
            </w:pPr>
            <w:r w:rsidRPr="48E1549F">
              <w:rPr>
                <w:rFonts w:ascii="Arial" w:hAnsi="Arial" w:cs="Arial"/>
                <w:sz w:val="24"/>
                <w:szCs w:val="24"/>
              </w:rPr>
              <w:t>Is the sworn in statement complete?</w:t>
            </w: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0EA91" w14:textId="168C5548" w:rsidR="48E1549F" w:rsidRDefault="48E1549F" w:rsidP="48E1549F">
            <w:pPr>
              <w:jc w:val="both"/>
              <w:rPr>
                <w:rFonts w:ascii="Arial" w:eastAsia="Times New Roman" w:hAnsi="Arial" w:cs="Arial"/>
                <w:sz w:val="24"/>
                <w:szCs w:val="24"/>
              </w:rPr>
            </w:pPr>
            <w:r w:rsidRPr="48E1549F">
              <w:rPr>
                <w:rFonts w:ascii="Arial" w:eastAsia="Times New Roman" w:hAnsi="Arial" w:cs="Arial"/>
                <w:sz w:val="24"/>
                <w:szCs w:val="24"/>
              </w:rPr>
              <w:t>Yes</w:t>
            </w:r>
          </w:p>
        </w:tc>
      </w:tr>
      <w:tr w:rsidR="48E1549F" w14:paraId="34752469" w14:textId="77777777" w:rsidTr="5B2AB7FD">
        <w:trPr>
          <w:trHeight w:val="590"/>
        </w:trPr>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C2CFA" w14:textId="2F8BD8CB" w:rsidR="48E1549F" w:rsidRDefault="48E1549F" w:rsidP="48E1549F">
            <w:pPr>
              <w:rPr>
                <w:rFonts w:ascii="Arial" w:eastAsia="Maiandra GD" w:hAnsi="Arial" w:cs="Arial"/>
                <w:sz w:val="24"/>
                <w:szCs w:val="24"/>
              </w:rPr>
            </w:pPr>
            <w:r w:rsidRPr="48E1549F">
              <w:rPr>
                <w:rFonts w:ascii="Arial" w:eastAsia="Maiandra GD" w:hAnsi="Arial" w:cs="Arial"/>
                <w:sz w:val="24"/>
                <w:szCs w:val="24"/>
              </w:rPr>
              <w:lastRenderedPageBreak/>
              <w:t>Nr.24</w:t>
            </w:r>
          </w:p>
        </w:tc>
        <w:tc>
          <w:tcPr>
            <w:tcW w:w="5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137E3" w14:textId="07894F59" w:rsidR="48E1549F" w:rsidRDefault="48E1549F" w:rsidP="48E1549F">
            <w:pPr>
              <w:jc w:val="both"/>
              <w:rPr>
                <w:rFonts w:ascii="Arial" w:eastAsia="Arial" w:hAnsi="Arial" w:cs="Arial"/>
                <w:sz w:val="24"/>
                <w:szCs w:val="24"/>
                <w:lang w:val="en-GB"/>
              </w:rPr>
            </w:pPr>
            <w:r w:rsidRPr="48E1549F">
              <w:rPr>
                <w:rFonts w:ascii="Arial" w:eastAsia="Arial" w:hAnsi="Arial" w:cs="Arial"/>
                <w:sz w:val="24"/>
                <w:szCs w:val="24"/>
                <w:lang w:val="en-GB"/>
              </w:rPr>
              <w:t>There appears to be a discrepancy between descriptions of the required outputs in the Terms of Reference between Section 2.3 and Section 7.1. The descriptions of the content for Deliverables 3 and 4 appear to be duplicated and the timeframes for submission conflict and present a timing issue in that deliverable 3 is required weeks (30 days) prior to the end of the assignment and deliverable 4 within one week of feedback comments on the draft final report. Can you please clarify the specific content and timing for Deliverables 3 and 4.</w:t>
            </w:r>
          </w:p>
          <w:p w14:paraId="23EFCCB2" w14:textId="4457A5C1" w:rsidR="48E1549F" w:rsidRDefault="48E1549F" w:rsidP="48E1549F">
            <w:pPr>
              <w:jc w:val="both"/>
              <w:rPr>
                <w:rFonts w:ascii="Arial" w:hAnsi="Arial" w:cs="Arial"/>
                <w:sz w:val="24"/>
                <w:szCs w:val="24"/>
              </w:rPr>
            </w:pPr>
          </w:p>
        </w:tc>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C922F" w14:textId="1771EE2E" w:rsidR="48E1549F" w:rsidRDefault="5B2AB7FD" w:rsidP="5B2AB7FD">
            <w:pPr>
              <w:jc w:val="both"/>
              <w:rPr>
                <w:rFonts w:ascii="Arial" w:eastAsia="Times New Roman" w:hAnsi="Arial" w:cs="Arial"/>
                <w:sz w:val="24"/>
                <w:szCs w:val="24"/>
              </w:rPr>
            </w:pPr>
            <w:r w:rsidRPr="5B2AB7FD">
              <w:rPr>
                <w:rFonts w:ascii="Arial" w:eastAsia="Times New Roman" w:hAnsi="Arial" w:cs="Arial"/>
                <w:sz w:val="24"/>
                <w:szCs w:val="24"/>
              </w:rPr>
              <w:t xml:space="preserve">Deliverables </w:t>
            </w:r>
            <w:r w:rsidR="00C706D0">
              <w:rPr>
                <w:rFonts w:ascii="Arial" w:eastAsia="Times New Roman" w:hAnsi="Arial" w:cs="Arial"/>
                <w:sz w:val="24"/>
                <w:szCs w:val="24"/>
              </w:rPr>
              <w:t>3</w:t>
            </w:r>
            <w:r w:rsidRPr="5B2AB7FD">
              <w:rPr>
                <w:rFonts w:ascii="Arial" w:eastAsia="Times New Roman" w:hAnsi="Arial" w:cs="Arial"/>
                <w:sz w:val="24"/>
                <w:szCs w:val="24"/>
              </w:rPr>
              <w:t xml:space="preserve"> and </w:t>
            </w:r>
            <w:r w:rsidR="00C706D0">
              <w:rPr>
                <w:rFonts w:ascii="Arial" w:eastAsia="Times New Roman" w:hAnsi="Arial" w:cs="Arial"/>
                <w:sz w:val="24"/>
                <w:szCs w:val="24"/>
              </w:rPr>
              <w:t>4</w:t>
            </w:r>
            <w:r w:rsidRPr="5B2AB7FD">
              <w:rPr>
                <w:rFonts w:ascii="Arial" w:eastAsia="Times New Roman" w:hAnsi="Arial" w:cs="Arial"/>
                <w:sz w:val="24"/>
                <w:szCs w:val="24"/>
              </w:rPr>
              <w:t xml:space="preserve"> are similar; however, the </w:t>
            </w:r>
            <w:bookmarkStart w:id="0" w:name="_Int_mRAAMZ8D"/>
            <w:r w:rsidRPr="5B2AB7FD">
              <w:rPr>
                <w:rFonts w:ascii="Arial" w:eastAsia="Times New Roman" w:hAnsi="Arial" w:cs="Arial"/>
                <w:sz w:val="24"/>
                <w:szCs w:val="24"/>
              </w:rPr>
              <w:t>implementation</w:t>
            </w:r>
            <w:bookmarkEnd w:id="0"/>
            <w:r w:rsidRPr="5B2AB7FD">
              <w:rPr>
                <w:rFonts w:ascii="Arial" w:eastAsia="Times New Roman" w:hAnsi="Arial" w:cs="Arial"/>
                <w:sz w:val="24"/>
                <w:szCs w:val="24"/>
              </w:rPr>
              <w:t xml:space="preserve"> roadmap is required for deliverable </w:t>
            </w:r>
            <w:r w:rsidR="00C706D0">
              <w:rPr>
                <w:rFonts w:ascii="Arial" w:eastAsia="Times New Roman" w:hAnsi="Arial" w:cs="Arial"/>
                <w:sz w:val="24"/>
                <w:szCs w:val="24"/>
              </w:rPr>
              <w:t>4</w:t>
            </w:r>
            <w:r w:rsidRPr="5B2AB7FD">
              <w:rPr>
                <w:rFonts w:ascii="Arial" w:eastAsia="Times New Roman" w:hAnsi="Arial" w:cs="Arial"/>
                <w:sz w:val="24"/>
                <w:szCs w:val="24"/>
              </w:rPr>
              <w:t xml:space="preserve">. </w:t>
            </w:r>
          </w:p>
          <w:p w14:paraId="141E7207" w14:textId="0E97E6D7" w:rsidR="48E1549F" w:rsidRDefault="5B2AB7FD" w:rsidP="5B2AB7FD">
            <w:pPr>
              <w:jc w:val="both"/>
              <w:rPr>
                <w:rFonts w:ascii="Arial" w:eastAsia="Times New Roman" w:hAnsi="Arial" w:cs="Arial"/>
                <w:sz w:val="24"/>
                <w:szCs w:val="24"/>
              </w:rPr>
            </w:pPr>
            <w:r w:rsidRPr="5B2AB7FD">
              <w:rPr>
                <w:rFonts w:ascii="Arial" w:eastAsia="Times New Roman" w:hAnsi="Arial" w:cs="Arial"/>
                <w:sz w:val="24"/>
                <w:szCs w:val="24"/>
              </w:rPr>
              <w:t>Deliverables 3: 30 days before the end of the assignment</w:t>
            </w:r>
          </w:p>
          <w:p w14:paraId="0FC86D10" w14:textId="549A76F7" w:rsidR="48E1549F" w:rsidRDefault="5B2AB7FD" w:rsidP="48E1549F">
            <w:pPr>
              <w:jc w:val="both"/>
              <w:rPr>
                <w:rFonts w:ascii="Arial" w:eastAsia="Times New Roman" w:hAnsi="Arial" w:cs="Arial"/>
                <w:sz w:val="24"/>
                <w:szCs w:val="24"/>
              </w:rPr>
            </w:pPr>
            <w:r w:rsidRPr="5B2AB7FD">
              <w:rPr>
                <w:rFonts w:ascii="Arial" w:eastAsia="Times New Roman" w:hAnsi="Arial" w:cs="Arial"/>
                <w:sz w:val="24"/>
                <w:szCs w:val="24"/>
              </w:rPr>
              <w:t>Deliverables 4: one week after receiving feedback from the Secretariat</w:t>
            </w:r>
          </w:p>
        </w:tc>
      </w:tr>
    </w:tbl>
    <w:p w14:paraId="73375893" w14:textId="3139353A" w:rsidR="48E1549F" w:rsidRDefault="48E1549F"/>
    <w:p w14:paraId="73BBC59D" w14:textId="77777777" w:rsidR="00DC24E2" w:rsidRPr="00DE64C0" w:rsidRDefault="00DC24E2" w:rsidP="002E1315">
      <w:pPr>
        <w:rPr>
          <w:rFonts w:ascii="Arial" w:eastAsia="Maiandra GD" w:hAnsi="Arial" w:cs="Arial"/>
          <w:b/>
          <w:bCs/>
          <w:sz w:val="24"/>
          <w:szCs w:val="24"/>
        </w:rPr>
      </w:pPr>
    </w:p>
    <w:p w14:paraId="59F0FD06" w14:textId="77777777" w:rsidR="00DC24E2" w:rsidRPr="00DE64C0" w:rsidRDefault="00DC24E2" w:rsidP="002E1315">
      <w:pPr>
        <w:rPr>
          <w:rFonts w:ascii="Arial" w:eastAsia="Maiandra GD" w:hAnsi="Arial" w:cs="Arial"/>
          <w:b/>
          <w:bCs/>
          <w:sz w:val="24"/>
          <w:szCs w:val="24"/>
        </w:rPr>
      </w:pPr>
    </w:p>
    <w:p w14:paraId="49408BCF" w14:textId="77777777" w:rsidR="00DC24E2" w:rsidRPr="00DE64C0" w:rsidRDefault="00DC24E2" w:rsidP="002E1315">
      <w:pPr>
        <w:rPr>
          <w:rFonts w:ascii="Arial" w:eastAsia="Maiandra GD" w:hAnsi="Arial" w:cs="Arial"/>
          <w:b/>
          <w:bCs/>
          <w:sz w:val="24"/>
          <w:szCs w:val="24"/>
        </w:rPr>
      </w:pPr>
    </w:p>
    <w:p w14:paraId="37EE3112" w14:textId="3EEC8E92" w:rsidR="00986882" w:rsidRPr="00DE64C0" w:rsidRDefault="00E77D34" w:rsidP="00071EFA">
      <w:pPr>
        <w:jc w:val="center"/>
        <w:rPr>
          <w:rFonts w:ascii="Arial" w:hAnsi="Arial" w:cs="Arial"/>
          <w:b/>
          <w:bCs/>
          <w:sz w:val="24"/>
          <w:szCs w:val="24"/>
        </w:rPr>
      </w:pPr>
      <w:r w:rsidRPr="00DE64C0">
        <w:rPr>
          <w:rFonts w:ascii="Arial" w:eastAsia="Maiandra GD" w:hAnsi="Arial" w:cs="Arial"/>
          <w:b/>
          <w:bCs/>
          <w:sz w:val="24"/>
          <w:szCs w:val="24"/>
        </w:rPr>
        <w:t>End of Responses</w:t>
      </w:r>
    </w:p>
    <w:p w14:paraId="47DD4F1D" w14:textId="77777777" w:rsidR="00986882" w:rsidRPr="00DE64C0" w:rsidRDefault="00E77D34">
      <w:pPr>
        <w:ind w:left="1265"/>
        <w:jc w:val="center"/>
        <w:rPr>
          <w:rFonts w:ascii="Arial" w:hAnsi="Arial" w:cs="Arial"/>
          <w:sz w:val="24"/>
          <w:szCs w:val="24"/>
        </w:rPr>
      </w:pPr>
      <w:r w:rsidRPr="00DE64C0">
        <w:rPr>
          <w:rFonts w:ascii="Arial" w:eastAsia="Maiandra GD" w:hAnsi="Arial" w:cs="Arial"/>
          <w:sz w:val="24"/>
          <w:szCs w:val="24"/>
        </w:rPr>
        <w:t xml:space="preserve"> </w:t>
      </w:r>
    </w:p>
    <w:p w14:paraId="1030E1A2" w14:textId="77777777" w:rsidR="00986882" w:rsidRPr="00DE64C0" w:rsidRDefault="00E77D34">
      <w:pPr>
        <w:ind w:left="10" w:right="3019" w:hanging="10"/>
        <w:jc w:val="right"/>
        <w:rPr>
          <w:rFonts w:ascii="Arial" w:hAnsi="Arial" w:cs="Arial"/>
          <w:sz w:val="24"/>
          <w:szCs w:val="24"/>
        </w:rPr>
      </w:pPr>
      <w:r w:rsidRPr="00DE64C0">
        <w:rPr>
          <w:rFonts w:ascii="Arial" w:eastAsia="Maiandra GD" w:hAnsi="Arial" w:cs="Arial"/>
          <w:sz w:val="24"/>
          <w:szCs w:val="24"/>
        </w:rPr>
        <w:t xml:space="preserve">Southern African Development Community </w:t>
      </w:r>
    </w:p>
    <w:p w14:paraId="3E4CAC03" w14:textId="77777777" w:rsidR="00986882" w:rsidRPr="00DE64C0" w:rsidRDefault="00E77D34">
      <w:pPr>
        <w:pStyle w:val="Heading1"/>
        <w:ind w:left="5632"/>
        <w:rPr>
          <w:rFonts w:ascii="Arial" w:hAnsi="Arial" w:cs="Arial"/>
          <w:szCs w:val="24"/>
        </w:rPr>
      </w:pPr>
      <w:r w:rsidRPr="00DE64C0">
        <w:rPr>
          <w:rFonts w:ascii="Arial" w:hAnsi="Arial" w:cs="Arial"/>
          <w:szCs w:val="24"/>
        </w:rPr>
        <w:t xml:space="preserve">CBD Plot 54385  </w:t>
      </w:r>
    </w:p>
    <w:p w14:paraId="1E6FD6B8" w14:textId="77777777" w:rsidR="00986882" w:rsidRPr="00DE64C0" w:rsidRDefault="00E77D34" w:rsidP="00E77D34">
      <w:pPr>
        <w:ind w:left="10" w:right="2808" w:hanging="10"/>
        <w:jc w:val="right"/>
        <w:rPr>
          <w:rFonts w:ascii="Arial" w:hAnsi="Arial" w:cs="Arial"/>
          <w:sz w:val="24"/>
          <w:szCs w:val="24"/>
        </w:rPr>
      </w:pPr>
      <w:r w:rsidRPr="00DE64C0">
        <w:rPr>
          <w:rFonts w:ascii="Arial" w:eastAsia="Maiandra GD" w:hAnsi="Arial" w:cs="Arial"/>
          <w:sz w:val="24"/>
          <w:szCs w:val="24"/>
        </w:rPr>
        <w:t xml:space="preserve">Phone: (267) 395 1863 | Fax: (267) 397-2 848  </w:t>
      </w:r>
    </w:p>
    <w:sectPr w:rsidR="00986882" w:rsidRPr="00DE64C0">
      <w:footerReference w:type="default" r:id="rId8"/>
      <w:pgSz w:w="15840" w:h="12240" w:orient="landscape"/>
      <w:pgMar w:top="773" w:right="2632" w:bottom="19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00D2" w14:textId="77777777" w:rsidR="00E967C5" w:rsidRDefault="00E967C5" w:rsidP="0026279D">
      <w:r>
        <w:separator/>
      </w:r>
    </w:p>
  </w:endnote>
  <w:endnote w:type="continuationSeparator" w:id="0">
    <w:p w14:paraId="145D8554" w14:textId="77777777" w:rsidR="00E967C5" w:rsidRDefault="00E967C5" w:rsidP="0026279D">
      <w:r>
        <w:continuationSeparator/>
      </w:r>
    </w:p>
  </w:endnote>
  <w:endnote w:type="continuationNotice" w:id="1">
    <w:p w14:paraId="7B8E4923" w14:textId="77777777" w:rsidR="00E967C5" w:rsidRDefault="00E96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iandra GD">
    <w:altName w:val="Calibri"/>
    <w:panose1 w:val="020E0502030308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34296"/>
      <w:docPartObj>
        <w:docPartGallery w:val="Page Numbers (Bottom of Page)"/>
        <w:docPartUnique/>
      </w:docPartObj>
    </w:sdtPr>
    <w:sdtEndPr/>
    <w:sdtContent>
      <w:sdt>
        <w:sdtPr>
          <w:id w:val="1728636285"/>
          <w:docPartObj>
            <w:docPartGallery w:val="Page Numbers (Top of Page)"/>
            <w:docPartUnique/>
          </w:docPartObj>
        </w:sdtPr>
        <w:sdtEndPr/>
        <w:sdtContent>
          <w:p w14:paraId="4B0A5A7B" w14:textId="5C299ABE" w:rsidR="0026279D" w:rsidRDefault="002627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D3A48A" w14:textId="77777777" w:rsidR="0026279D" w:rsidRDefault="0026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34E2" w14:textId="77777777" w:rsidR="00E967C5" w:rsidRDefault="00E967C5" w:rsidP="0026279D">
      <w:r>
        <w:separator/>
      </w:r>
    </w:p>
  </w:footnote>
  <w:footnote w:type="continuationSeparator" w:id="0">
    <w:p w14:paraId="6CCAEA3F" w14:textId="77777777" w:rsidR="00E967C5" w:rsidRDefault="00E967C5" w:rsidP="0026279D">
      <w:r>
        <w:continuationSeparator/>
      </w:r>
    </w:p>
  </w:footnote>
  <w:footnote w:type="continuationNotice" w:id="1">
    <w:p w14:paraId="16F16C74" w14:textId="77777777" w:rsidR="00E967C5" w:rsidRDefault="00E967C5"/>
  </w:footnote>
</w:footnotes>
</file>

<file path=word/intelligence2.xml><?xml version="1.0" encoding="utf-8"?>
<int2:intelligence xmlns:int2="http://schemas.microsoft.com/office/intelligence/2020/intelligence" xmlns:oel="http://schemas.microsoft.com/office/2019/extlst">
  <int2:observations>
    <int2:textHash int2:hashCode="XcNNOP2HbnB7da" int2:id="uVbiEA7K">
      <int2:state int2:value="Rejected" int2:type="spell"/>
    </int2:textHash>
    <int2:textHash int2:hashCode="qjqOZOrQIKEdCb" int2:id="vnSbgN28">
      <int2:state int2:value="Rejected" int2:type="spell"/>
    </int2:textHash>
    <int2:bookmark int2:bookmarkName="_Int_mRAAMZ8D" int2:invalidationBookmarkName="" int2:hashCode="eX79g/jBXe739N" int2:id="jCtuaTy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4AF0E1"/>
    <w:multiLevelType w:val="hybridMultilevel"/>
    <w:tmpl w:val="D5B38A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04574D"/>
    <w:multiLevelType w:val="hybridMultilevel"/>
    <w:tmpl w:val="D01DF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FE27E8"/>
    <w:multiLevelType w:val="multilevel"/>
    <w:tmpl w:val="7D1CD9FC"/>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AC55D4"/>
    <w:multiLevelType w:val="hybridMultilevel"/>
    <w:tmpl w:val="6C2544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B818CC"/>
    <w:multiLevelType w:val="hybridMultilevel"/>
    <w:tmpl w:val="CF99AD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0CA97E"/>
    <w:multiLevelType w:val="hybridMultilevel"/>
    <w:tmpl w:val="E8662088"/>
    <w:lvl w:ilvl="0" w:tplc="5D3EA024">
      <w:start w:val="1"/>
      <w:numFmt w:val="lowerLetter"/>
      <w:lvlText w:val="(%1)"/>
      <w:lvlJc w:val="left"/>
      <w:pPr>
        <w:ind w:left="720" w:hanging="360"/>
      </w:pPr>
    </w:lvl>
    <w:lvl w:ilvl="1" w:tplc="2374734C">
      <w:start w:val="1"/>
      <w:numFmt w:val="lowerLetter"/>
      <w:lvlText w:val="%2."/>
      <w:lvlJc w:val="left"/>
      <w:pPr>
        <w:ind w:left="1440" w:hanging="360"/>
      </w:pPr>
    </w:lvl>
    <w:lvl w:ilvl="2" w:tplc="A8FEA616">
      <w:start w:val="1"/>
      <w:numFmt w:val="lowerRoman"/>
      <w:lvlText w:val="%3."/>
      <w:lvlJc w:val="right"/>
      <w:pPr>
        <w:ind w:left="2160" w:hanging="180"/>
      </w:pPr>
    </w:lvl>
    <w:lvl w:ilvl="3" w:tplc="41B64D94">
      <w:start w:val="1"/>
      <w:numFmt w:val="decimal"/>
      <w:lvlText w:val="%4."/>
      <w:lvlJc w:val="left"/>
      <w:pPr>
        <w:ind w:left="2880" w:hanging="360"/>
      </w:pPr>
    </w:lvl>
    <w:lvl w:ilvl="4" w:tplc="99189E4E">
      <w:start w:val="1"/>
      <w:numFmt w:val="lowerLetter"/>
      <w:lvlText w:val="%5."/>
      <w:lvlJc w:val="left"/>
      <w:pPr>
        <w:ind w:left="3600" w:hanging="360"/>
      </w:pPr>
    </w:lvl>
    <w:lvl w:ilvl="5" w:tplc="8D96474A">
      <w:start w:val="1"/>
      <w:numFmt w:val="lowerRoman"/>
      <w:lvlText w:val="%6."/>
      <w:lvlJc w:val="right"/>
      <w:pPr>
        <w:ind w:left="4320" w:hanging="180"/>
      </w:pPr>
    </w:lvl>
    <w:lvl w:ilvl="6" w:tplc="38FC8242">
      <w:start w:val="1"/>
      <w:numFmt w:val="decimal"/>
      <w:lvlText w:val="%7."/>
      <w:lvlJc w:val="left"/>
      <w:pPr>
        <w:ind w:left="5040" w:hanging="360"/>
      </w:pPr>
    </w:lvl>
    <w:lvl w:ilvl="7" w:tplc="871A5C08">
      <w:start w:val="1"/>
      <w:numFmt w:val="lowerLetter"/>
      <w:lvlText w:val="%8."/>
      <w:lvlJc w:val="left"/>
      <w:pPr>
        <w:ind w:left="5760" w:hanging="360"/>
      </w:pPr>
    </w:lvl>
    <w:lvl w:ilvl="8" w:tplc="F6501D24">
      <w:start w:val="1"/>
      <w:numFmt w:val="lowerRoman"/>
      <w:lvlText w:val="%9."/>
      <w:lvlJc w:val="right"/>
      <w:pPr>
        <w:ind w:left="6480" w:hanging="180"/>
      </w:pPr>
    </w:lvl>
  </w:abstractNum>
  <w:abstractNum w:abstractNumId="6" w15:restartNumberingAfterBreak="0">
    <w:nsid w:val="048923C8"/>
    <w:multiLevelType w:val="hybridMultilevel"/>
    <w:tmpl w:val="B4D28948"/>
    <w:lvl w:ilvl="0" w:tplc="100051A4">
      <w:start w:val="1"/>
      <w:numFmt w:val="lowerRoman"/>
      <w:lvlText w:val="(%1)"/>
      <w:lvlJc w:val="left"/>
      <w:pPr>
        <w:ind w:left="1080" w:hanging="360"/>
      </w:pPr>
      <w:rPr>
        <w:rFonts w:ascii="Aptos" w:eastAsia="Times New Roman" w:hAnsi="Aptos"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1C6C99"/>
    <w:multiLevelType w:val="hybridMultilevel"/>
    <w:tmpl w:val="F5068CF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63F2E8E"/>
    <w:multiLevelType w:val="hybridMultilevel"/>
    <w:tmpl w:val="5B206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FF3315"/>
    <w:multiLevelType w:val="multilevel"/>
    <w:tmpl w:val="BC48A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4A187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CD97242"/>
    <w:multiLevelType w:val="multilevel"/>
    <w:tmpl w:val="6282A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A0611E"/>
    <w:multiLevelType w:val="hybridMultilevel"/>
    <w:tmpl w:val="ACF49B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6713B"/>
    <w:multiLevelType w:val="hybridMultilevel"/>
    <w:tmpl w:val="0AA48AD8"/>
    <w:lvl w:ilvl="0" w:tplc="001C9564">
      <w:start w:val="1"/>
      <w:numFmt w:val="decimal"/>
      <w:lvlText w:val="%1."/>
      <w:lvlJc w:val="left"/>
      <w:pPr>
        <w:ind w:left="720" w:hanging="360"/>
      </w:pPr>
    </w:lvl>
    <w:lvl w:ilvl="1" w:tplc="CAA26016">
      <w:start w:val="1"/>
      <w:numFmt w:val="lowerLetter"/>
      <w:lvlText w:val="%2."/>
      <w:lvlJc w:val="left"/>
      <w:pPr>
        <w:ind w:left="1440" w:hanging="360"/>
      </w:pPr>
    </w:lvl>
    <w:lvl w:ilvl="2" w:tplc="B0B23220">
      <w:start w:val="1"/>
      <w:numFmt w:val="lowerRoman"/>
      <w:lvlText w:val="%3."/>
      <w:lvlJc w:val="right"/>
      <w:pPr>
        <w:ind w:left="2160" w:hanging="180"/>
      </w:pPr>
    </w:lvl>
    <w:lvl w:ilvl="3" w:tplc="63A2BF3C">
      <w:start w:val="1"/>
      <w:numFmt w:val="decimal"/>
      <w:lvlText w:val="%4."/>
      <w:lvlJc w:val="left"/>
      <w:pPr>
        <w:ind w:left="2880" w:hanging="360"/>
      </w:pPr>
    </w:lvl>
    <w:lvl w:ilvl="4" w:tplc="DF88F3BA">
      <w:start w:val="1"/>
      <w:numFmt w:val="lowerLetter"/>
      <w:lvlText w:val="%5."/>
      <w:lvlJc w:val="left"/>
      <w:pPr>
        <w:ind w:left="3600" w:hanging="360"/>
      </w:pPr>
    </w:lvl>
    <w:lvl w:ilvl="5" w:tplc="AB7A181A">
      <w:start w:val="1"/>
      <w:numFmt w:val="lowerRoman"/>
      <w:lvlText w:val="%6."/>
      <w:lvlJc w:val="right"/>
      <w:pPr>
        <w:ind w:left="4320" w:hanging="180"/>
      </w:pPr>
    </w:lvl>
    <w:lvl w:ilvl="6" w:tplc="E5D85714">
      <w:start w:val="1"/>
      <w:numFmt w:val="decimal"/>
      <w:lvlText w:val="%7."/>
      <w:lvlJc w:val="left"/>
      <w:pPr>
        <w:ind w:left="5040" w:hanging="360"/>
      </w:pPr>
    </w:lvl>
    <w:lvl w:ilvl="7" w:tplc="04CEB0E2">
      <w:start w:val="1"/>
      <w:numFmt w:val="lowerLetter"/>
      <w:lvlText w:val="%8."/>
      <w:lvlJc w:val="left"/>
      <w:pPr>
        <w:ind w:left="5760" w:hanging="360"/>
      </w:pPr>
    </w:lvl>
    <w:lvl w:ilvl="8" w:tplc="5756E2A6">
      <w:start w:val="1"/>
      <w:numFmt w:val="lowerRoman"/>
      <w:lvlText w:val="%9."/>
      <w:lvlJc w:val="right"/>
      <w:pPr>
        <w:ind w:left="6480" w:hanging="180"/>
      </w:pPr>
    </w:lvl>
  </w:abstractNum>
  <w:abstractNum w:abstractNumId="14" w15:restartNumberingAfterBreak="0">
    <w:nsid w:val="3FAC229F"/>
    <w:multiLevelType w:val="hybridMultilevel"/>
    <w:tmpl w:val="FFFFFFFF"/>
    <w:lvl w:ilvl="0" w:tplc="492C79BC">
      <w:start w:val="1"/>
      <w:numFmt w:val="lowerLetter"/>
      <w:lvlText w:val="(%1)"/>
      <w:lvlJc w:val="left"/>
      <w:pPr>
        <w:ind w:left="720" w:hanging="360"/>
      </w:pPr>
    </w:lvl>
    <w:lvl w:ilvl="1" w:tplc="ADCC0496">
      <w:start w:val="1"/>
      <w:numFmt w:val="lowerLetter"/>
      <w:lvlText w:val="%2."/>
      <w:lvlJc w:val="left"/>
      <w:pPr>
        <w:ind w:left="1440" w:hanging="360"/>
      </w:pPr>
    </w:lvl>
    <w:lvl w:ilvl="2" w:tplc="656C7F5C">
      <w:start w:val="1"/>
      <w:numFmt w:val="lowerRoman"/>
      <w:lvlText w:val="%3."/>
      <w:lvlJc w:val="right"/>
      <w:pPr>
        <w:ind w:left="2160" w:hanging="180"/>
      </w:pPr>
    </w:lvl>
    <w:lvl w:ilvl="3" w:tplc="6AB8A30E">
      <w:start w:val="1"/>
      <w:numFmt w:val="decimal"/>
      <w:lvlText w:val="%4."/>
      <w:lvlJc w:val="left"/>
      <w:pPr>
        <w:ind w:left="2880" w:hanging="360"/>
      </w:pPr>
    </w:lvl>
    <w:lvl w:ilvl="4" w:tplc="D944AC7A">
      <w:start w:val="1"/>
      <w:numFmt w:val="lowerLetter"/>
      <w:lvlText w:val="%5."/>
      <w:lvlJc w:val="left"/>
      <w:pPr>
        <w:ind w:left="3600" w:hanging="360"/>
      </w:pPr>
    </w:lvl>
    <w:lvl w:ilvl="5" w:tplc="44C24094">
      <w:start w:val="1"/>
      <w:numFmt w:val="lowerRoman"/>
      <w:lvlText w:val="%6."/>
      <w:lvlJc w:val="right"/>
      <w:pPr>
        <w:ind w:left="4320" w:hanging="180"/>
      </w:pPr>
    </w:lvl>
    <w:lvl w:ilvl="6" w:tplc="EFA2AD8E">
      <w:start w:val="1"/>
      <w:numFmt w:val="decimal"/>
      <w:lvlText w:val="%7."/>
      <w:lvlJc w:val="left"/>
      <w:pPr>
        <w:ind w:left="5040" w:hanging="360"/>
      </w:pPr>
    </w:lvl>
    <w:lvl w:ilvl="7" w:tplc="BAC48DE2">
      <w:start w:val="1"/>
      <w:numFmt w:val="lowerLetter"/>
      <w:lvlText w:val="%8."/>
      <w:lvlJc w:val="left"/>
      <w:pPr>
        <w:ind w:left="5760" w:hanging="360"/>
      </w:pPr>
    </w:lvl>
    <w:lvl w:ilvl="8" w:tplc="B154997E">
      <w:start w:val="1"/>
      <w:numFmt w:val="lowerRoman"/>
      <w:lvlText w:val="%9."/>
      <w:lvlJc w:val="right"/>
      <w:pPr>
        <w:ind w:left="6480" w:hanging="180"/>
      </w:pPr>
    </w:lvl>
  </w:abstractNum>
  <w:abstractNum w:abstractNumId="15" w15:restartNumberingAfterBreak="0">
    <w:nsid w:val="4249966C"/>
    <w:multiLevelType w:val="hybridMultilevel"/>
    <w:tmpl w:val="D58D8B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2BA0F68"/>
    <w:multiLevelType w:val="multilevel"/>
    <w:tmpl w:val="7B9A3F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0888F62"/>
    <w:multiLevelType w:val="multilevel"/>
    <w:tmpl w:val="2AB1FDD3"/>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2B55A2"/>
    <w:multiLevelType w:val="multilevel"/>
    <w:tmpl w:val="C6E82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C96B34"/>
    <w:multiLevelType w:val="multilevel"/>
    <w:tmpl w:val="CBBEE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3549E5"/>
    <w:multiLevelType w:val="hybridMultilevel"/>
    <w:tmpl w:val="2E6A180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678E00EC"/>
    <w:multiLevelType w:val="multilevel"/>
    <w:tmpl w:val="DC08DCFC"/>
    <w:lvl w:ilvl="0">
      <w:start w:val="1"/>
      <w:numFmt w:val="lowerLetter"/>
      <w:lvlText w:val="%1."/>
      <w:lvlJc w:val="left"/>
      <w:pPr>
        <w:tabs>
          <w:tab w:val="num" w:pos="720"/>
        </w:tabs>
        <w:ind w:left="720" w:hanging="360"/>
      </w:pPr>
    </w:lvl>
    <w:lvl w:ilvl="1">
      <w:start w:val="1"/>
      <w:numFmt w:val="lowerLetter"/>
      <w:lvlText w:val="%2)"/>
      <w:lvlJc w:val="left"/>
      <w:pPr>
        <w:ind w:left="360" w:hanging="360"/>
      </w:pPr>
      <w:rPr>
        <w:rFonts w:ascii="Calibri" w:eastAsia="Calibri" w:hAnsi="Calibri" w:cs="Calibri"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9257ECA"/>
    <w:multiLevelType w:val="multilevel"/>
    <w:tmpl w:val="A4E80A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4E306A"/>
    <w:multiLevelType w:val="hybridMultilevel"/>
    <w:tmpl w:val="46D6FA6E"/>
    <w:lvl w:ilvl="0" w:tplc="318A0460">
      <w:start w:val="2"/>
      <w:numFmt w:val="lowerLetter"/>
      <w:lvlText w:val="(%1)"/>
      <w:lvlJc w:val="left"/>
      <w:pPr>
        <w:ind w:left="720" w:hanging="360"/>
      </w:pPr>
      <w:rPr>
        <w:rFonts w:hint="default"/>
        <w:color w:val="47474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633747">
    <w:abstractNumId w:val="13"/>
  </w:num>
  <w:num w:numId="2" w16cid:durableId="1256981742">
    <w:abstractNumId w:val="5"/>
  </w:num>
  <w:num w:numId="3" w16cid:durableId="534854559">
    <w:abstractNumId w:val="9"/>
  </w:num>
  <w:num w:numId="4" w16cid:durableId="185560191">
    <w:abstractNumId w:val="22"/>
  </w:num>
  <w:num w:numId="5" w16cid:durableId="1454862326">
    <w:abstractNumId w:val="16"/>
  </w:num>
  <w:num w:numId="6" w16cid:durableId="1526750506">
    <w:abstractNumId w:val="19"/>
  </w:num>
  <w:num w:numId="7" w16cid:durableId="493496268">
    <w:abstractNumId w:val="18"/>
  </w:num>
  <w:num w:numId="8" w16cid:durableId="1046493117">
    <w:abstractNumId w:val="21"/>
  </w:num>
  <w:num w:numId="9" w16cid:durableId="1028217045">
    <w:abstractNumId w:val="15"/>
  </w:num>
  <w:num w:numId="10" w16cid:durableId="420566285">
    <w:abstractNumId w:val="17"/>
  </w:num>
  <w:num w:numId="11" w16cid:durableId="772821578">
    <w:abstractNumId w:val="0"/>
  </w:num>
  <w:num w:numId="12" w16cid:durableId="1916161754">
    <w:abstractNumId w:val="4"/>
  </w:num>
  <w:num w:numId="13" w16cid:durableId="1887988756">
    <w:abstractNumId w:val="1"/>
  </w:num>
  <w:num w:numId="14" w16cid:durableId="945500767">
    <w:abstractNumId w:val="2"/>
  </w:num>
  <w:num w:numId="15" w16cid:durableId="1593397667">
    <w:abstractNumId w:val="3"/>
  </w:num>
  <w:num w:numId="16" w16cid:durableId="1358656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052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082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098416">
    <w:abstractNumId w:val="12"/>
  </w:num>
  <w:num w:numId="20" w16cid:durableId="1594126812">
    <w:abstractNumId w:val="8"/>
  </w:num>
  <w:num w:numId="21" w16cid:durableId="2063946798">
    <w:abstractNumId w:val="6"/>
  </w:num>
  <w:num w:numId="22" w16cid:durableId="667444182">
    <w:abstractNumId w:val="14"/>
  </w:num>
  <w:num w:numId="23" w16cid:durableId="65735634">
    <w:abstractNumId w:val="23"/>
  </w:num>
  <w:num w:numId="24" w16cid:durableId="1868711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82"/>
    <w:rsid w:val="000011BC"/>
    <w:rsid w:val="00006C9E"/>
    <w:rsid w:val="000075F7"/>
    <w:rsid w:val="00012A96"/>
    <w:rsid w:val="00014C7E"/>
    <w:rsid w:val="00017FA5"/>
    <w:rsid w:val="0002366C"/>
    <w:rsid w:val="0003032E"/>
    <w:rsid w:val="0003086E"/>
    <w:rsid w:val="000420EE"/>
    <w:rsid w:val="00056102"/>
    <w:rsid w:val="00057267"/>
    <w:rsid w:val="00057AED"/>
    <w:rsid w:val="00065194"/>
    <w:rsid w:val="000677CC"/>
    <w:rsid w:val="00071EFA"/>
    <w:rsid w:val="00073AF7"/>
    <w:rsid w:val="00084975"/>
    <w:rsid w:val="00084E99"/>
    <w:rsid w:val="00095518"/>
    <w:rsid w:val="000965DF"/>
    <w:rsid w:val="00097C1C"/>
    <w:rsid w:val="000A5D59"/>
    <w:rsid w:val="000B0CA2"/>
    <w:rsid w:val="000B24A1"/>
    <w:rsid w:val="000C307C"/>
    <w:rsid w:val="000C5FEC"/>
    <w:rsid w:val="000C7BBF"/>
    <w:rsid w:val="000C7F81"/>
    <w:rsid w:val="000D0607"/>
    <w:rsid w:val="000D1DB7"/>
    <w:rsid w:val="000D7559"/>
    <w:rsid w:val="000D7B53"/>
    <w:rsid w:val="000E1F97"/>
    <w:rsid w:val="000E2CB7"/>
    <w:rsid w:val="000E4F6A"/>
    <w:rsid w:val="000E6408"/>
    <w:rsid w:val="000F3910"/>
    <w:rsid w:val="000F5DBE"/>
    <w:rsid w:val="000F6EEE"/>
    <w:rsid w:val="001056FD"/>
    <w:rsid w:val="0012123F"/>
    <w:rsid w:val="00125473"/>
    <w:rsid w:val="00132CD8"/>
    <w:rsid w:val="00132EF1"/>
    <w:rsid w:val="00135A2D"/>
    <w:rsid w:val="00142A5F"/>
    <w:rsid w:val="00143EBD"/>
    <w:rsid w:val="0014785E"/>
    <w:rsid w:val="00152E04"/>
    <w:rsid w:val="0015560A"/>
    <w:rsid w:val="00156FF8"/>
    <w:rsid w:val="001603CC"/>
    <w:rsid w:val="0016083E"/>
    <w:rsid w:val="001616D1"/>
    <w:rsid w:val="00165ED5"/>
    <w:rsid w:val="0017062B"/>
    <w:rsid w:val="00171103"/>
    <w:rsid w:val="00176B0C"/>
    <w:rsid w:val="00176FA9"/>
    <w:rsid w:val="00180F2D"/>
    <w:rsid w:val="001858A7"/>
    <w:rsid w:val="001906C2"/>
    <w:rsid w:val="00192A90"/>
    <w:rsid w:val="001950FC"/>
    <w:rsid w:val="00195FB0"/>
    <w:rsid w:val="001A1A5B"/>
    <w:rsid w:val="001B035F"/>
    <w:rsid w:val="001B2A7C"/>
    <w:rsid w:val="001B4E42"/>
    <w:rsid w:val="001D1634"/>
    <w:rsid w:val="001E11F2"/>
    <w:rsid w:val="001E14BF"/>
    <w:rsid w:val="001F007D"/>
    <w:rsid w:val="001F0320"/>
    <w:rsid w:val="001F0CAC"/>
    <w:rsid w:val="001F198B"/>
    <w:rsid w:val="001F1A99"/>
    <w:rsid w:val="001F3C5E"/>
    <w:rsid w:val="001F565B"/>
    <w:rsid w:val="00201A7E"/>
    <w:rsid w:val="00202AD0"/>
    <w:rsid w:val="00212C8C"/>
    <w:rsid w:val="00213481"/>
    <w:rsid w:val="002157CF"/>
    <w:rsid w:val="00224480"/>
    <w:rsid w:val="002303F4"/>
    <w:rsid w:val="00236E08"/>
    <w:rsid w:val="0025220F"/>
    <w:rsid w:val="00253D01"/>
    <w:rsid w:val="00255707"/>
    <w:rsid w:val="0026279D"/>
    <w:rsid w:val="002634CE"/>
    <w:rsid w:val="0027275B"/>
    <w:rsid w:val="0027543F"/>
    <w:rsid w:val="00286CE5"/>
    <w:rsid w:val="0029145E"/>
    <w:rsid w:val="0029555B"/>
    <w:rsid w:val="002A17D3"/>
    <w:rsid w:val="002A4589"/>
    <w:rsid w:val="002B27F5"/>
    <w:rsid w:val="002B2B8F"/>
    <w:rsid w:val="002B52EF"/>
    <w:rsid w:val="002B5769"/>
    <w:rsid w:val="002C3763"/>
    <w:rsid w:val="002D2CE2"/>
    <w:rsid w:val="002D4554"/>
    <w:rsid w:val="002E1315"/>
    <w:rsid w:val="002E17F4"/>
    <w:rsid w:val="002E439F"/>
    <w:rsid w:val="002E7C87"/>
    <w:rsid w:val="002F0596"/>
    <w:rsid w:val="002F274C"/>
    <w:rsid w:val="002F294B"/>
    <w:rsid w:val="002F62FF"/>
    <w:rsid w:val="00303BAA"/>
    <w:rsid w:val="00307D2E"/>
    <w:rsid w:val="00310234"/>
    <w:rsid w:val="00311A05"/>
    <w:rsid w:val="00312622"/>
    <w:rsid w:val="00314F99"/>
    <w:rsid w:val="00336C18"/>
    <w:rsid w:val="003406BF"/>
    <w:rsid w:val="00343CCB"/>
    <w:rsid w:val="003447E4"/>
    <w:rsid w:val="00345C94"/>
    <w:rsid w:val="00346A66"/>
    <w:rsid w:val="00350CA3"/>
    <w:rsid w:val="00351A71"/>
    <w:rsid w:val="003579C1"/>
    <w:rsid w:val="0036575B"/>
    <w:rsid w:val="003715D2"/>
    <w:rsid w:val="0037543F"/>
    <w:rsid w:val="00375F57"/>
    <w:rsid w:val="0038106F"/>
    <w:rsid w:val="0038189D"/>
    <w:rsid w:val="00382F50"/>
    <w:rsid w:val="00390A5A"/>
    <w:rsid w:val="00390FE3"/>
    <w:rsid w:val="00395BE3"/>
    <w:rsid w:val="00396C99"/>
    <w:rsid w:val="003A2C6C"/>
    <w:rsid w:val="003A4DCA"/>
    <w:rsid w:val="003A6E00"/>
    <w:rsid w:val="003B5533"/>
    <w:rsid w:val="003C2E30"/>
    <w:rsid w:val="003D4E49"/>
    <w:rsid w:val="003F16FB"/>
    <w:rsid w:val="003F525F"/>
    <w:rsid w:val="003F6F03"/>
    <w:rsid w:val="00416234"/>
    <w:rsid w:val="0042027A"/>
    <w:rsid w:val="00420432"/>
    <w:rsid w:val="004239E9"/>
    <w:rsid w:val="00423A7C"/>
    <w:rsid w:val="00433D91"/>
    <w:rsid w:val="004351D0"/>
    <w:rsid w:val="00436799"/>
    <w:rsid w:val="0044111B"/>
    <w:rsid w:val="00451C54"/>
    <w:rsid w:val="00466EC4"/>
    <w:rsid w:val="00481EFE"/>
    <w:rsid w:val="00482289"/>
    <w:rsid w:val="00482E08"/>
    <w:rsid w:val="00483453"/>
    <w:rsid w:val="00483B20"/>
    <w:rsid w:val="004A1777"/>
    <w:rsid w:val="004A5BE4"/>
    <w:rsid w:val="004B0348"/>
    <w:rsid w:val="004B0EB1"/>
    <w:rsid w:val="004B3C7D"/>
    <w:rsid w:val="004B5A6D"/>
    <w:rsid w:val="004B736F"/>
    <w:rsid w:val="004C0838"/>
    <w:rsid w:val="004C1C14"/>
    <w:rsid w:val="004C3A51"/>
    <w:rsid w:val="004C7463"/>
    <w:rsid w:val="004D0B1E"/>
    <w:rsid w:val="004D36BB"/>
    <w:rsid w:val="004D4A50"/>
    <w:rsid w:val="004D68BE"/>
    <w:rsid w:val="004D7979"/>
    <w:rsid w:val="004D7BDA"/>
    <w:rsid w:val="004E2D75"/>
    <w:rsid w:val="004E664D"/>
    <w:rsid w:val="004E7E8E"/>
    <w:rsid w:val="004F06CA"/>
    <w:rsid w:val="004F1D62"/>
    <w:rsid w:val="00501E98"/>
    <w:rsid w:val="005040DF"/>
    <w:rsid w:val="00507B03"/>
    <w:rsid w:val="005110AC"/>
    <w:rsid w:val="00515DF1"/>
    <w:rsid w:val="00516227"/>
    <w:rsid w:val="0051688B"/>
    <w:rsid w:val="0052015A"/>
    <w:rsid w:val="0052178E"/>
    <w:rsid w:val="005267F1"/>
    <w:rsid w:val="005316CA"/>
    <w:rsid w:val="0054059A"/>
    <w:rsid w:val="005419DC"/>
    <w:rsid w:val="00542870"/>
    <w:rsid w:val="005452EE"/>
    <w:rsid w:val="005477A0"/>
    <w:rsid w:val="00552ED9"/>
    <w:rsid w:val="00560604"/>
    <w:rsid w:val="00562FF0"/>
    <w:rsid w:val="005650DF"/>
    <w:rsid w:val="00567C4C"/>
    <w:rsid w:val="00570B6D"/>
    <w:rsid w:val="005A073C"/>
    <w:rsid w:val="005A08CF"/>
    <w:rsid w:val="005A0EA5"/>
    <w:rsid w:val="005A30D2"/>
    <w:rsid w:val="005A32C2"/>
    <w:rsid w:val="005A7022"/>
    <w:rsid w:val="005B33A1"/>
    <w:rsid w:val="005B6652"/>
    <w:rsid w:val="005C3EE4"/>
    <w:rsid w:val="005C4354"/>
    <w:rsid w:val="005C477E"/>
    <w:rsid w:val="005D06DD"/>
    <w:rsid w:val="005D2188"/>
    <w:rsid w:val="005E468A"/>
    <w:rsid w:val="005E5D7C"/>
    <w:rsid w:val="005F2407"/>
    <w:rsid w:val="006008E3"/>
    <w:rsid w:val="00600C19"/>
    <w:rsid w:val="00601D5C"/>
    <w:rsid w:val="00605E44"/>
    <w:rsid w:val="00610169"/>
    <w:rsid w:val="006148D4"/>
    <w:rsid w:val="00623794"/>
    <w:rsid w:val="006249FE"/>
    <w:rsid w:val="00633B05"/>
    <w:rsid w:val="00634B24"/>
    <w:rsid w:val="00635EB5"/>
    <w:rsid w:val="00636C23"/>
    <w:rsid w:val="00637C9B"/>
    <w:rsid w:val="00644F81"/>
    <w:rsid w:val="0065259D"/>
    <w:rsid w:val="00653A85"/>
    <w:rsid w:val="00654CB6"/>
    <w:rsid w:val="006559B0"/>
    <w:rsid w:val="0066150F"/>
    <w:rsid w:val="00662320"/>
    <w:rsid w:val="00664E0F"/>
    <w:rsid w:val="00667698"/>
    <w:rsid w:val="006706D7"/>
    <w:rsid w:val="00673095"/>
    <w:rsid w:val="00682BDD"/>
    <w:rsid w:val="00682F10"/>
    <w:rsid w:val="00684759"/>
    <w:rsid w:val="00691AC3"/>
    <w:rsid w:val="006A1EEE"/>
    <w:rsid w:val="006A77BD"/>
    <w:rsid w:val="006A7EB4"/>
    <w:rsid w:val="006B0CF7"/>
    <w:rsid w:val="006B1192"/>
    <w:rsid w:val="006B784B"/>
    <w:rsid w:val="006C0D1B"/>
    <w:rsid w:val="006C34CE"/>
    <w:rsid w:val="006C56DC"/>
    <w:rsid w:val="006C66B7"/>
    <w:rsid w:val="006D1029"/>
    <w:rsid w:val="006D35B6"/>
    <w:rsid w:val="006E274A"/>
    <w:rsid w:val="006E2B66"/>
    <w:rsid w:val="006E2DDB"/>
    <w:rsid w:val="006E7C64"/>
    <w:rsid w:val="006F1F38"/>
    <w:rsid w:val="006F784A"/>
    <w:rsid w:val="007100C4"/>
    <w:rsid w:val="00713C29"/>
    <w:rsid w:val="007149CF"/>
    <w:rsid w:val="00720FDE"/>
    <w:rsid w:val="00721451"/>
    <w:rsid w:val="0073578B"/>
    <w:rsid w:val="00752F0A"/>
    <w:rsid w:val="00761413"/>
    <w:rsid w:val="0076337D"/>
    <w:rsid w:val="0077251D"/>
    <w:rsid w:val="00773A5F"/>
    <w:rsid w:val="0078290E"/>
    <w:rsid w:val="00786993"/>
    <w:rsid w:val="007873CE"/>
    <w:rsid w:val="007957A9"/>
    <w:rsid w:val="00796626"/>
    <w:rsid w:val="007A0896"/>
    <w:rsid w:val="007A2330"/>
    <w:rsid w:val="007A4978"/>
    <w:rsid w:val="007B13F0"/>
    <w:rsid w:val="007B6547"/>
    <w:rsid w:val="007B6994"/>
    <w:rsid w:val="007B6EE5"/>
    <w:rsid w:val="007D308A"/>
    <w:rsid w:val="007D4F6D"/>
    <w:rsid w:val="007D5E44"/>
    <w:rsid w:val="007E0563"/>
    <w:rsid w:val="007E1E64"/>
    <w:rsid w:val="007E2042"/>
    <w:rsid w:val="007E4C38"/>
    <w:rsid w:val="007F51FA"/>
    <w:rsid w:val="007F5FAE"/>
    <w:rsid w:val="007F6113"/>
    <w:rsid w:val="00802E30"/>
    <w:rsid w:val="00803F35"/>
    <w:rsid w:val="00804C70"/>
    <w:rsid w:val="008057D9"/>
    <w:rsid w:val="00811163"/>
    <w:rsid w:val="00812253"/>
    <w:rsid w:val="00813999"/>
    <w:rsid w:val="00820C31"/>
    <w:rsid w:val="00824CC7"/>
    <w:rsid w:val="008258D1"/>
    <w:rsid w:val="00832A7B"/>
    <w:rsid w:val="00835FF2"/>
    <w:rsid w:val="00840352"/>
    <w:rsid w:val="0084285A"/>
    <w:rsid w:val="008441D9"/>
    <w:rsid w:val="0085373C"/>
    <w:rsid w:val="008573F4"/>
    <w:rsid w:val="00865E82"/>
    <w:rsid w:val="00865F3B"/>
    <w:rsid w:val="008674E7"/>
    <w:rsid w:val="008727DC"/>
    <w:rsid w:val="00874225"/>
    <w:rsid w:val="0087749F"/>
    <w:rsid w:val="008823F6"/>
    <w:rsid w:val="008872C0"/>
    <w:rsid w:val="00890FE6"/>
    <w:rsid w:val="00891069"/>
    <w:rsid w:val="00894502"/>
    <w:rsid w:val="008A0C61"/>
    <w:rsid w:val="008A116B"/>
    <w:rsid w:val="008A1490"/>
    <w:rsid w:val="008A57E1"/>
    <w:rsid w:val="008A7FD7"/>
    <w:rsid w:val="008B0BA8"/>
    <w:rsid w:val="008C2EC0"/>
    <w:rsid w:val="008D4CC8"/>
    <w:rsid w:val="008D56F3"/>
    <w:rsid w:val="008D6E04"/>
    <w:rsid w:val="008E0AC3"/>
    <w:rsid w:val="008E3984"/>
    <w:rsid w:val="008E634A"/>
    <w:rsid w:val="008E645A"/>
    <w:rsid w:val="0090619B"/>
    <w:rsid w:val="00913AB6"/>
    <w:rsid w:val="009151F2"/>
    <w:rsid w:val="009158B4"/>
    <w:rsid w:val="00915D25"/>
    <w:rsid w:val="009179B7"/>
    <w:rsid w:val="00924CBE"/>
    <w:rsid w:val="00931506"/>
    <w:rsid w:val="00935EA8"/>
    <w:rsid w:val="00937D82"/>
    <w:rsid w:val="009410CE"/>
    <w:rsid w:val="009415F1"/>
    <w:rsid w:val="00944A6F"/>
    <w:rsid w:val="009463A2"/>
    <w:rsid w:val="009476D8"/>
    <w:rsid w:val="00951CCA"/>
    <w:rsid w:val="00951FBD"/>
    <w:rsid w:val="009523A7"/>
    <w:rsid w:val="00954923"/>
    <w:rsid w:val="009611A7"/>
    <w:rsid w:val="009650C3"/>
    <w:rsid w:val="009719CB"/>
    <w:rsid w:val="009724B0"/>
    <w:rsid w:val="0098019B"/>
    <w:rsid w:val="00984AAB"/>
    <w:rsid w:val="00986882"/>
    <w:rsid w:val="00987F6E"/>
    <w:rsid w:val="009903C7"/>
    <w:rsid w:val="009937AC"/>
    <w:rsid w:val="009973AA"/>
    <w:rsid w:val="00997A27"/>
    <w:rsid w:val="009A432C"/>
    <w:rsid w:val="009B0EDF"/>
    <w:rsid w:val="009B490C"/>
    <w:rsid w:val="009C22E0"/>
    <w:rsid w:val="009C2703"/>
    <w:rsid w:val="009D0493"/>
    <w:rsid w:val="009D41B9"/>
    <w:rsid w:val="009D590F"/>
    <w:rsid w:val="009E3DE5"/>
    <w:rsid w:val="009E5A95"/>
    <w:rsid w:val="009E7915"/>
    <w:rsid w:val="009F3E24"/>
    <w:rsid w:val="009F50CA"/>
    <w:rsid w:val="009F7806"/>
    <w:rsid w:val="009FE460"/>
    <w:rsid w:val="00A04017"/>
    <w:rsid w:val="00A13917"/>
    <w:rsid w:val="00A2159B"/>
    <w:rsid w:val="00A22A32"/>
    <w:rsid w:val="00A232B0"/>
    <w:rsid w:val="00A27FEE"/>
    <w:rsid w:val="00A338BC"/>
    <w:rsid w:val="00A34C0A"/>
    <w:rsid w:val="00A3564B"/>
    <w:rsid w:val="00A457EA"/>
    <w:rsid w:val="00A47346"/>
    <w:rsid w:val="00A47952"/>
    <w:rsid w:val="00A512C0"/>
    <w:rsid w:val="00A51C0D"/>
    <w:rsid w:val="00A54038"/>
    <w:rsid w:val="00A55D8A"/>
    <w:rsid w:val="00A56231"/>
    <w:rsid w:val="00A57D78"/>
    <w:rsid w:val="00A65938"/>
    <w:rsid w:val="00A72470"/>
    <w:rsid w:val="00A74B03"/>
    <w:rsid w:val="00A82A75"/>
    <w:rsid w:val="00A82F3B"/>
    <w:rsid w:val="00A90CDC"/>
    <w:rsid w:val="00AB134A"/>
    <w:rsid w:val="00AB213C"/>
    <w:rsid w:val="00AB7DBF"/>
    <w:rsid w:val="00AC0724"/>
    <w:rsid w:val="00AC7877"/>
    <w:rsid w:val="00AD1224"/>
    <w:rsid w:val="00AD4550"/>
    <w:rsid w:val="00AD4E96"/>
    <w:rsid w:val="00AE2003"/>
    <w:rsid w:val="00AE33E7"/>
    <w:rsid w:val="00AE3624"/>
    <w:rsid w:val="00AE4489"/>
    <w:rsid w:val="00AE4B70"/>
    <w:rsid w:val="00AF6CFC"/>
    <w:rsid w:val="00B05554"/>
    <w:rsid w:val="00B0773A"/>
    <w:rsid w:val="00B1257C"/>
    <w:rsid w:val="00B2155B"/>
    <w:rsid w:val="00B22A75"/>
    <w:rsid w:val="00B25602"/>
    <w:rsid w:val="00B268E3"/>
    <w:rsid w:val="00B3574C"/>
    <w:rsid w:val="00B46999"/>
    <w:rsid w:val="00B55DCF"/>
    <w:rsid w:val="00B6186C"/>
    <w:rsid w:val="00B7115A"/>
    <w:rsid w:val="00B74569"/>
    <w:rsid w:val="00B85060"/>
    <w:rsid w:val="00B92227"/>
    <w:rsid w:val="00B9455E"/>
    <w:rsid w:val="00B96D9C"/>
    <w:rsid w:val="00BA006F"/>
    <w:rsid w:val="00BA27F8"/>
    <w:rsid w:val="00BA79E4"/>
    <w:rsid w:val="00BB3DA4"/>
    <w:rsid w:val="00BB4977"/>
    <w:rsid w:val="00BB7B5F"/>
    <w:rsid w:val="00BC04A5"/>
    <w:rsid w:val="00BC10C8"/>
    <w:rsid w:val="00BC642B"/>
    <w:rsid w:val="00BE29DB"/>
    <w:rsid w:val="00BE6B64"/>
    <w:rsid w:val="00BE7451"/>
    <w:rsid w:val="00BE75A0"/>
    <w:rsid w:val="00BF49A9"/>
    <w:rsid w:val="00BF6109"/>
    <w:rsid w:val="00C07EB6"/>
    <w:rsid w:val="00C125ED"/>
    <w:rsid w:val="00C16562"/>
    <w:rsid w:val="00C215C4"/>
    <w:rsid w:val="00C24962"/>
    <w:rsid w:val="00C25AD8"/>
    <w:rsid w:val="00C344D8"/>
    <w:rsid w:val="00C37351"/>
    <w:rsid w:val="00C43C60"/>
    <w:rsid w:val="00C62362"/>
    <w:rsid w:val="00C634FC"/>
    <w:rsid w:val="00C66C64"/>
    <w:rsid w:val="00C706D0"/>
    <w:rsid w:val="00C716C6"/>
    <w:rsid w:val="00C77779"/>
    <w:rsid w:val="00C812F8"/>
    <w:rsid w:val="00C8182C"/>
    <w:rsid w:val="00C86D36"/>
    <w:rsid w:val="00C95B60"/>
    <w:rsid w:val="00CA0013"/>
    <w:rsid w:val="00CA0284"/>
    <w:rsid w:val="00CA0571"/>
    <w:rsid w:val="00CA7BC6"/>
    <w:rsid w:val="00CB3212"/>
    <w:rsid w:val="00CC00BB"/>
    <w:rsid w:val="00CC7601"/>
    <w:rsid w:val="00CD0D12"/>
    <w:rsid w:val="00CD16C4"/>
    <w:rsid w:val="00CD3298"/>
    <w:rsid w:val="00CD74D4"/>
    <w:rsid w:val="00CE034E"/>
    <w:rsid w:val="00CE3E70"/>
    <w:rsid w:val="00CF5F68"/>
    <w:rsid w:val="00D0054A"/>
    <w:rsid w:val="00D013B9"/>
    <w:rsid w:val="00D01EBD"/>
    <w:rsid w:val="00D14557"/>
    <w:rsid w:val="00D21AC3"/>
    <w:rsid w:val="00D2444B"/>
    <w:rsid w:val="00D26A67"/>
    <w:rsid w:val="00D273AB"/>
    <w:rsid w:val="00D302E5"/>
    <w:rsid w:val="00D30B18"/>
    <w:rsid w:val="00D310D7"/>
    <w:rsid w:val="00D31882"/>
    <w:rsid w:val="00D45985"/>
    <w:rsid w:val="00D537A4"/>
    <w:rsid w:val="00D54B22"/>
    <w:rsid w:val="00D552B0"/>
    <w:rsid w:val="00D55820"/>
    <w:rsid w:val="00D60789"/>
    <w:rsid w:val="00D61596"/>
    <w:rsid w:val="00D6651A"/>
    <w:rsid w:val="00D80273"/>
    <w:rsid w:val="00D831A1"/>
    <w:rsid w:val="00D87E44"/>
    <w:rsid w:val="00D93CB9"/>
    <w:rsid w:val="00DA6059"/>
    <w:rsid w:val="00DB3DE7"/>
    <w:rsid w:val="00DB469D"/>
    <w:rsid w:val="00DB5614"/>
    <w:rsid w:val="00DB58A7"/>
    <w:rsid w:val="00DB7864"/>
    <w:rsid w:val="00DC24E2"/>
    <w:rsid w:val="00DC268A"/>
    <w:rsid w:val="00DD2691"/>
    <w:rsid w:val="00DD287D"/>
    <w:rsid w:val="00DD4ED0"/>
    <w:rsid w:val="00DD75B4"/>
    <w:rsid w:val="00DE1E0E"/>
    <w:rsid w:val="00DE3451"/>
    <w:rsid w:val="00DE3D36"/>
    <w:rsid w:val="00DE4C7E"/>
    <w:rsid w:val="00DE5C59"/>
    <w:rsid w:val="00DE64C0"/>
    <w:rsid w:val="00DE7529"/>
    <w:rsid w:val="00DF0EBF"/>
    <w:rsid w:val="00DF352D"/>
    <w:rsid w:val="00E02F61"/>
    <w:rsid w:val="00E0338F"/>
    <w:rsid w:val="00E06293"/>
    <w:rsid w:val="00E062C7"/>
    <w:rsid w:val="00E06BF2"/>
    <w:rsid w:val="00E10A11"/>
    <w:rsid w:val="00E226D2"/>
    <w:rsid w:val="00E369D3"/>
    <w:rsid w:val="00E371A1"/>
    <w:rsid w:val="00E41E47"/>
    <w:rsid w:val="00E437BC"/>
    <w:rsid w:val="00E52BE7"/>
    <w:rsid w:val="00E73A4B"/>
    <w:rsid w:val="00E77D34"/>
    <w:rsid w:val="00E928AF"/>
    <w:rsid w:val="00E967C5"/>
    <w:rsid w:val="00EA2FF3"/>
    <w:rsid w:val="00EA31D0"/>
    <w:rsid w:val="00EA4631"/>
    <w:rsid w:val="00EB10D1"/>
    <w:rsid w:val="00EC516D"/>
    <w:rsid w:val="00ED5545"/>
    <w:rsid w:val="00EE1789"/>
    <w:rsid w:val="00EE2D11"/>
    <w:rsid w:val="00EE3006"/>
    <w:rsid w:val="00EF4205"/>
    <w:rsid w:val="00EF4AF6"/>
    <w:rsid w:val="00EF7D17"/>
    <w:rsid w:val="00F01D4C"/>
    <w:rsid w:val="00F01DA1"/>
    <w:rsid w:val="00F06FB5"/>
    <w:rsid w:val="00F128D0"/>
    <w:rsid w:val="00F1666C"/>
    <w:rsid w:val="00F20C0F"/>
    <w:rsid w:val="00F21A67"/>
    <w:rsid w:val="00F21ABB"/>
    <w:rsid w:val="00F22BD7"/>
    <w:rsid w:val="00F2309C"/>
    <w:rsid w:val="00F30A7E"/>
    <w:rsid w:val="00F30D75"/>
    <w:rsid w:val="00F3255E"/>
    <w:rsid w:val="00F36C2D"/>
    <w:rsid w:val="00F41155"/>
    <w:rsid w:val="00F41D9B"/>
    <w:rsid w:val="00F4715C"/>
    <w:rsid w:val="00F4777C"/>
    <w:rsid w:val="00F71D24"/>
    <w:rsid w:val="00F75BF8"/>
    <w:rsid w:val="00F8292F"/>
    <w:rsid w:val="00F90916"/>
    <w:rsid w:val="00F91AC5"/>
    <w:rsid w:val="00F92044"/>
    <w:rsid w:val="00F92261"/>
    <w:rsid w:val="00FA176B"/>
    <w:rsid w:val="00FA6C72"/>
    <w:rsid w:val="00FC1C51"/>
    <w:rsid w:val="00FC2E1F"/>
    <w:rsid w:val="00FC583B"/>
    <w:rsid w:val="00FD0269"/>
    <w:rsid w:val="00FD368D"/>
    <w:rsid w:val="00FD3DC3"/>
    <w:rsid w:val="00FD5559"/>
    <w:rsid w:val="00FD7091"/>
    <w:rsid w:val="00FE78AC"/>
    <w:rsid w:val="00FF6B5C"/>
    <w:rsid w:val="00FF7519"/>
    <w:rsid w:val="02949F8B"/>
    <w:rsid w:val="02B2491B"/>
    <w:rsid w:val="0AA3DCD4"/>
    <w:rsid w:val="0BBEB55E"/>
    <w:rsid w:val="154DE061"/>
    <w:rsid w:val="2238AF25"/>
    <w:rsid w:val="293185A4"/>
    <w:rsid w:val="2B7847A5"/>
    <w:rsid w:val="3661A30C"/>
    <w:rsid w:val="37B30370"/>
    <w:rsid w:val="380B17A4"/>
    <w:rsid w:val="457CE73F"/>
    <w:rsid w:val="48CD7978"/>
    <w:rsid w:val="48E1549F"/>
    <w:rsid w:val="49F8017A"/>
    <w:rsid w:val="4BD864CA"/>
    <w:rsid w:val="4EAFF276"/>
    <w:rsid w:val="57915596"/>
    <w:rsid w:val="57E63470"/>
    <w:rsid w:val="5AA1E60B"/>
    <w:rsid w:val="5B2AB7FD"/>
    <w:rsid w:val="678C486E"/>
    <w:rsid w:val="68AC55AA"/>
    <w:rsid w:val="692EEA75"/>
    <w:rsid w:val="6BE037BB"/>
    <w:rsid w:val="6E81F256"/>
    <w:rsid w:val="6F3ECF60"/>
    <w:rsid w:val="738C4B61"/>
    <w:rsid w:val="758CFACD"/>
    <w:rsid w:val="76F79891"/>
    <w:rsid w:val="770C22EF"/>
    <w:rsid w:val="7BAACF9D"/>
    <w:rsid w:val="7E77CF5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5797"/>
  <w15:docId w15:val="{0794CA0C-BCB9-445D-A55C-D114CB16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D9B"/>
    <w:pPr>
      <w:spacing w:after="0" w:line="240" w:lineRule="auto"/>
    </w:pPr>
    <w:rPr>
      <w:rFonts w:ascii="Aptos" w:eastAsiaTheme="minorHAnsi" w:hAnsi="Aptos" w:cs="Aptos"/>
      <w:sz w:val="20"/>
      <w:szCs w:val="20"/>
      <w:lang w:val="en-US" w:eastAsia="en-US"/>
      <w14:ligatures w14:val="standardContextual"/>
    </w:rPr>
  </w:style>
  <w:style w:type="paragraph" w:styleId="Heading1">
    <w:name w:val="heading 1"/>
    <w:next w:val="Normal"/>
    <w:link w:val="Heading1Char"/>
    <w:uiPriority w:val="9"/>
    <w:unhideWhenUsed/>
    <w:qFormat/>
    <w:pPr>
      <w:keepNext/>
      <w:keepLines/>
      <w:spacing w:after="0"/>
      <w:ind w:left="2698" w:hanging="10"/>
      <w:outlineLvl w:val="0"/>
    </w:pPr>
    <w:rPr>
      <w:rFonts w:ascii="Maiandra GD" w:eastAsia="Maiandra GD" w:hAnsi="Maiandra GD" w:cs="Maiandra G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aiandra GD" w:eastAsia="Maiandra GD" w:hAnsi="Maiandra GD" w:cs="Maiandra GD"/>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720FD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F90916"/>
    <w:pPr>
      <w:spacing w:after="160" w:line="259" w:lineRule="auto"/>
      <w:ind w:left="720"/>
      <w:contextualSpacing/>
    </w:pPr>
    <w:rPr>
      <w:rFonts w:ascii="Calibri" w:eastAsia="Calibri" w:hAnsi="Calibri" w:cs="Calibri"/>
      <w:color w:val="000000"/>
      <w:sz w:val="22"/>
      <w:szCs w:val="22"/>
      <w:lang w:val="en-ZA" w:eastAsia="en-ZA"/>
      <w14:ligatures w14:val="none"/>
    </w:rPr>
  </w:style>
  <w:style w:type="character" w:styleId="Hyperlink">
    <w:name w:val="Hyperlink"/>
    <w:basedOn w:val="DefaultParagraphFont"/>
    <w:uiPriority w:val="99"/>
    <w:unhideWhenUsed/>
    <w:rsid w:val="002A17D3"/>
    <w:rPr>
      <w:color w:val="0563C1" w:themeColor="hyperlink"/>
      <w:u w:val="single"/>
    </w:rPr>
  </w:style>
  <w:style w:type="character" w:styleId="UnresolvedMention">
    <w:name w:val="Unresolved Mention"/>
    <w:basedOn w:val="DefaultParagraphFont"/>
    <w:uiPriority w:val="99"/>
    <w:semiHidden/>
    <w:unhideWhenUsed/>
    <w:rsid w:val="002A17D3"/>
    <w:rPr>
      <w:color w:val="605E5C"/>
      <w:shd w:val="clear" w:color="auto" w:fill="E1DFDD"/>
    </w:rPr>
  </w:style>
  <w:style w:type="character" w:customStyle="1" w:styleId="ListParagraphChar">
    <w:name w:val="List Paragraph Char"/>
    <w:basedOn w:val="DefaultParagraphFont"/>
    <w:link w:val="ListParagraph"/>
    <w:uiPriority w:val="34"/>
    <w:locked/>
    <w:rsid w:val="00F06FB5"/>
    <w:rPr>
      <w:rFonts w:ascii="Calibri" w:eastAsia="Calibri" w:hAnsi="Calibri" w:cs="Calibri"/>
      <w:color w:val="000000"/>
    </w:rPr>
  </w:style>
  <w:style w:type="character" w:styleId="Emphasis">
    <w:name w:val="Emphasis"/>
    <w:basedOn w:val="DefaultParagraphFont"/>
    <w:uiPriority w:val="20"/>
    <w:qFormat/>
    <w:rsid w:val="00F06FB5"/>
    <w:rPr>
      <w:i/>
      <w:iCs/>
    </w:rPr>
  </w:style>
  <w:style w:type="character" w:styleId="CommentReference">
    <w:name w:val="annotation reference"/>
    <w:basedOn w:val="DefaultParagraphFont"/>
    <w:uiPriority w:val="99"/>
    <w:semiHidden/>
    <w:unhideWhenUsed/>
    <w:rsid w:val="00C24962"/>
    <w:rPr>
      <w:sz w:val="16"/>
      <w:szCs w:val="16"/>
    </w:rPr>
  </w:style>
  <w:style w:type="paragraph" w:styleId="CommentText">
    <w:name w:val="annotation text"/>
    <w:basedOn w:val="Normal"/>
    <w:link w:val="CommentTextChar"/>
    <w:uiPriority w:val="99"/>
    <w:unhideWhenUsed/>
    <w:rsid w:val="00C24962"/>
    <w:pPr>
      <w:spacing w:after="160"/>
    </w:pPr>
    <w:rPr>
      <w:rFonts w:ascii="Calibri" w:eastAsia="Calibri" w:hAnsi="Calibri" w:cs="Calibri"/>
      <w:color w:val="000000"/>
      <w:lang w:val="en-ZA" w:eastAsia="en-ZA"/>
      <w14:ligatures w14:val="none"/>
    </w:rPr>
  </w:style>
  <w:style w:type="character" w:customStyle="1" w:styleId="CommentTextChar">
    <w:name w:val="Comment Text Char"/>
    <w:basedOn w:val="DefaultParagraphFont"/>
    <w:link w:val="CommentText"/>
    <w:uiPriority w:val="99"/>
    <w:rsid w:val="00C2496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4962"/>
    <w:rPr>
      <w:b/>
      <w:bCs/>
    </w:rPr>
  </w:style>
  <w:style w:type="character" w:customStyle="1" w:styleId="CommentSubjectChar">
    <w:name w:val="Comment Subject Char"/>
    <w:basedOn w:val="CommentTextChar"/>
    <w:link w:val="CommentSubject"/>
    <w:uiPriority w:val="99"/>
    <w:semiHidden/>
    <w:rsid w:val="00C24962"/>
    <w:rPr>
      <w:rFonts w:ascii="Calibri" w:eastAsia="Calibri" w:hAnsi="Calibri" w:cs="Calibri"/>
      <w:b/>
      <w:bCs/>
      <w:color w:val="000000"/>
      <w:sz w:val="20"/>
      <w:szCs w:val="20"/>
    </w:rPr>
  </w:style>
  <w:style w:type="paragraph" w:styleId="Header">
    <w:name w:val="header"/>
    <w:basedOn w:val="Normal"/>
    <w:link w:val="HeaderChar"/>
    <w:uiPriority w:val="99"/>
    <w:unhideWhenUsed/>
    <w:rsid w:val="0026279D"/>
    <w:pPr>
      <w:tabs>
        <w:tab w:val="center" w:pos="4680"/>
        <w:tab w:val="right" w:pos="9360"/>
      </w:tabs>
    </w:pPr>
    <w:rPr>
      <w:rFonts w:ascii="Calibri" w:eastAsia="Calibri" w:hAnsi="Calibri" w:cs="Calibri"/>
      <w:color w:val="000000"/>
      <w:sz w:val="22"/>
      <w:szCs w:val="22"/>
      <w:lang w:val="en-ZA" w:eastAsia="en-ZA"/>
      <w14:ligatures w14:val="none"/>
    </w:rPr>
  </w:style>
  <w:style w:type="character" w:customStyle="1" w:styleId="HeaderChar">
    <w:name w:val="Header Char"/>
    <w:basedOn w:val="DefaultParagraphFont"/>
    <w:link w:val="Header"/>
    <w:uiPriority w:val="99"/>
    <w:rsid w:val="0026279D"/>
    <w:rPr>
      <w:rFonts w:ascii="Calibri" w:eastAsia="Calibri" w:hAnsi="Calibri" w:cs="Calibri"/>
      <w:color w:val="000000"/>
    </w:rPr>
  </w:style>
  <w:style w:type="paragraph" w:styleId="Footer">
    <w:name w:val="footer"/>
    <w:basedOn w:val="Normal"/>
    <w:link w:val="FooterChar"/>
    <w:uiPriority w:val="99"/>
    <w:unhideWhenUsed/>
    <w:rsid w:val="0026279D"/>
    <w:pPr>
      <w:tabs>
        <w:tab w:val="center" w:pos="4680"/>
        <w:tab w:val="right" w:pos="9360"/>
      </w:tabs>
    </w:pPr>
    <w:rPr>
      <w:rFonts w:ascii="Calibri" w:eastAsia="Calibri" w:hAnsi="Calibri" w:cs="Calibri"/>
      <w:color w:val="000000"/>
      <w:sz w:val="22"/>
      <w:szCs w:val="22"/>
      <w:lang w:val="en-ZA" w:eastAsia="en-ZA"/>
      <w14:ligatures w14:val="none"/>
    </w:rPr>
  </w:style>
  <w:style w:type="character" w:customStyle="1" w:styleId="FooterChar">
    <w:name w:val="Footer Char"/>
    <w:basedOn w:val="DefaultParagraphFont"/>
    <w:link w:val="Footer"/>
    <w:uiPriority w:val="99"/>
    <w:rsid w:val="0026279D"/>
    <w:rPr>
      <w:rFonts w:ascii="Calibri" w:eastAsia="Calibri" w:hAnsi="Calibri" w:cs="Calibri"/>
      <w:color w:val="000000"/>
    </w:rPr>
  </w:style>
  <w:style w:type="paragraph" w:styleId="Revision">
    <w:name w:val="Revision"/>
    <w:hidden/>
    <w:uiPriority w:val="99"/>
    <w:semiHidden/>
    <w:rsid w:val="00E369D3"/>
    <w:pPr>
      <w:spacing w:after="0" w:line="240" w:lineRule="auto"/>
    </w:pPr>
    <w:rPr>
      <w:rFonts w:ascii="Aptos" w:eastAsiaTheme="minorHAnsi" w:hAnsi="Aptos" w:cs="Aptos"/>
      <w:sz w:val="20"/>
      <w:szCs w:val="20"/>
      <w:lang w:val="en-US" w:eastAsia="en-US"/>
      <w14:ligatures w14:val="standardContextual"/>
    </w:rPr>
  </w:style>
  <w:style w:type="paragraph" w:customStyle="1" w:styleId="xelementtoproof">
    <w:name w:val="x_elementtoproof"/>
    <w:basedOn w:val="Normal"/>
    <w:rsid w:val="007100C4"/>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871">
      <w:bodyDiv w:val="1"/>
      <w:marLeft w:val="0"/>
      <w:marRight w:val="0"/>
      <w:marTop w:val="0"/>
      <w:marBottom w:val="0"/>
      <w:divBdr>
        <w:top w:val="none" w:sz="0" w:space="0" w:color="auto"/>
        <w:left w:val="none" w:sz="0" w:space="0" w:color="auto"/>
        <w:bottom w:val="none" w:sz="0" w:space="0" w:color="auto"/>
        <w:right w:val="none" w:sz="0" w:space="0" w:color="auto"/>
      </w:divBdr>
    </w:div>
    <w:div w:id="252134773">
      <w:bodyDiv w:val="1"/>
      <w:marLeft w:val="0"/>
      <w:marRight w:val="0"/>
      <w:marTop w:val="0"/>
      <w:marBottom w:val="0"/>
      <w:divBdr>
        <w:top w:val="none" w:sz="0" w:space="0" w:color="auto"/>
        <w:left w:val="none" w:sz="0" w:space="0" w:color="auto"/>
        <w:bottom w:val="none" w:sz="0" w:space="0" w:color="auto"/>
        <w:right w:val="none" w:sz="0" w:space="0" w:color="auto"/>
      </w:divBdr>
    </w:div>
    <w:div w:id="513035071">
      <w:bodyDiv w:val="1"/>
      <w:marLeft w:val="0"/>
      <w:marRight w:val="0"/>
      <w:marTop w:val="0"/>
      <w:marBottom w:val="0"/>
      <w:divBdr>
        <w:top w:val="none" w:sz="0" w:space="0" w:color="auto"/>
        <w:left w:val="none" w:sz="0" w:space="0" w:color="auto"/>
        <w:bottom w:val="none" w:sz="0" w:space="0" w:color="auto"/>
        <w:right w:val="none" w:sz="0" w:space="0" w:color="auto"/>
      </w:divBdr>
    </w:div>
    <w:div w:id="705569174">
      <w:bodyDiv w:val="1"/>
      <w:marLeft w:val="0"/>
      <w:marRight w:val="0"/>
      <w:marTop w:val="0"/>
      <w:marBottom w:val="0"/>
      <w:divBdr>
        <w:top w:val="none" w:sz="0" w:space="0" w:color="auto"/>
        <w:left w:val="none" w:sz="0" w:space="0" w:color="auto"/>
        <w:bottom w:val="none" w:sz="0" w:space="0" w:color="auto"/>
        <w:right w:val="none" w:sz="0" w:space="0" w:color="auto"/>
      </w:divBdr>
    </w:div>
    <w:div w:id="713389648">
      <w:bodyDiv w:val="1"/>
      <w:marLeft w:val="0"/>
      <w:marRight w:val="0"/>
      <w:marTop w:val="0"/>
      <w:marBottom w:val="0"/>
      <w:divBdr>
        <w:top w:val="none" w:sz="0" w:space="0" w:color="auto"/>
        <w:left w:val="none" w:sz="0" w:space="0" w:color="auto"/>
        <w:bottom w:val="none" w:sz="0" w:space="0" w:color="auto"/>
        <w:right w:val="none" w:sz="0" w:space="0" w:color="auto"/>
      </w:divBdr>
    </w:div>
    <w:div w:id="735708811">
      <w:bodyDiv w:val="1"/>
      <w:marLeft w:val="0"/>
      <w:marRight w:val="0"/>
      <w:marTop w:val="0"/>
      <w:marBottom w:val="0"/>
      <w:divBdr>
        <w:top w:val="none" w:sz="0" w:space="0" w:color="auto"/>
        <w:left w:val="none" w:sz="0" w:space="0" w:color="auto"/>
        <w:bottom w:val="none" w:sz="0" w:space="0" w:color="auto"/>
        <w:right w:val="none" w:sz="0" w:space="0" w:color="auto"/>
      </w:divBdr>
    </w:div>
    <w:div w:id="768476290">
      <w:bodyDiv w:val="1"/>
      <w:marLeft w:val="0"/>
      <w:marRight w:val="0"/>
      <w:marTop w:val="0"/>
      <w:marBottom w:val="0"/>
      <w:divBdr>
        <w:top w:val="none" w:sz="0" w:space="0" w:color="auto"/>
        <w:left w:val="none" w:sz="0" w:space="0" w:color="auto"/>
        <w:bottom w:val="none" w:sz="0" w:space="0" w:color="auto"/>
        <w:right w:val="none" w:sz="0" w:space="0" w:color="auto"/>
      </w:divBdr>
    </w:div>
    <w:div w:id="786194295">
      <w:bodyDiv w:val="1"/>
      <w:marLeft w:val="0"/>
      <w:marRight w:val="0"/>
      <w:marTop w:val="0"/>
      <w:marBottom w:val="0"/>
      <w:divBdr>
        <w:top w:val="none" w:sz="0" w:space="0" w:color="auto"/>
        <w:left w:val="none" w:sz="0" w:space="0" w:color="auto"/>
        <w:bottom w:val="none" w:sz="0" w:space="0" w:color="auto"/>
        <w:right w:val="none" w:sz="0" w:space="0" w:color="auto"/>
      </w:divBdr>
    </w:div>
    <w:div w:id="866060626">
      <w:bodyDiv w:val="1"/>
      <w:marLeft w:val="0"/>
      <w:marRight w:val="0"/>
      <w:marTop w:val="0"/>
      <w:marBottom w:val="0"/>
      <w:divBdr>
        <w:top w:val="none" w:sz="0" w:space="0" w:color="auto"/>
        <w:left w:val="none" w:sz="0" w:space="0" w:color="auto"/>
        <w:bottom w:val="none" w:sz="0" w:space="0" w:color="auto"/>
        <w:right w:val="none" w:sz="0" w:space="0" w:color="auto"/>
      </w:divBdr>
    </w:div>
    <w:div w:id="969482086">
      <w:bodyDiv w:val="1"/>
      <w:marLeft w:val="0"/>
      <w:marRight w:val="0"/>
      <w:marTop w:val="0"/>
      <w:marBottom w:val="0"/>
      <w:divBdr>
        <w:top w:val="none" w:sz="0" w:space="0" w:color="auto"/>
        <w:left w:val="none" w:sz="0" w:space="0" w:color="auto"/>
        <w:bottom w:val="none" w:sz="0" w:space="0" w:color="auto"/>
        <w:right w:val="none" w:sz="0" w:space="0" w:color="auto"/>
      </w:divBdr>
    </w:div>
    <w:div w:id="1157964268">
      <w:bodyDiv w:val="1"/>
      <w:marLeft w:val="0"/>
      <w:marRight w:val="0"/>
      <w:marTop w:val="0"/>
      <w:marBottom w:val="0"/>
      <w:divBdr>
        <w:top w:val="none" w:sz="0" w:space="0" w:color="auto"/>
        <w:left w:val="none" w:sz="0" w:space="0" w:color="auto"/>
        <w:bottom w:val="none" w:sz="0" w:space="0" w:color="auto"/>
        <w:right w:val="none" w:sz="0" w:space="0" w:color="auto"/>
      </w:divBdr>
    </w:div>
    <w:div w:id="1284262761">
      <w:bodyDiv w:val="1"/>
      <w:marLeft w:val="0"/>
      <w:marRight w:val="0"/>
      <w:marTop w:val="0"/>
      <w:marBottom w:val="0"/>
      <w:divBdr>
        <w:top w:val="none" w:sz="0" w:space="0" w:color="auto"/>
        <w:left w:val="none" w:sz="0" w:space="0" w:color="auto"/>
        <w:bottom w:val="none" w:sz="0" w:space="0" w:color="auto"/>
        <w:right w:val="none" w:sz="0" w:space="0" w:color="auto"/>
      </w:divBdr>
    </w:div>
    <w:div w:id="1295602019">
      <w:bodyDiv w:val="1"/>
      <w:marLeft w:val="0"/>
      <w:marRight w:val="0"/>
      <w:marTop w:val="0"/>
      <w:marBottom w:val="0"/>
      <w:divBdr>
        <w:top w:val="none" w:sz="0" w:space="0" w:color="auto"/>
        <w:left w:val="none" w:sz="0" w:space="0" w:color="auto"/>
        <w:bottom w:val="none" w:sz="0" w:space="0" w:color="auto"/>
        <w:right w:val="none" w:sz="0" w:space="0" w:color="auto"/>
      </w:divBdr>
    </w:div>
    <w:div w:id="1322537555">
      <w:bodyDiv w:val="1"/>
      <w:marLeft w:val="0"/>
      <w:marRight w:val="0"/>
      <w:marTop w:val="0"/>
      <w:marBottom w:val="0"/>
      <w:divBdr>
        <w:top w:val="none" w:sz="0" w:space="0" w:color="auto"/>
        <w:left w:val="none" w:sz="0" w:space="0" w:color="auto"/>
        <w:bottom w:val="none" w:sz="0" w:space="0" w:color="auto"/>
        <w:right w:val="none" w:sz="0" w:space="0" w:color="auto"/>
      </w:divBdr>
    </w:div>
    <w:div w:id="1362781816">
      <w:bodyDiv w:val="1"/>
      <w:marLeft w:val="0"/>
      <w:marRight w:val="0"/>
      <w:marTop w:val="0"/>
      <w:marBottom w:val="0"/>
      <w:divBdr>
        <w:top w:val="none" w:sz="0" w:space="0" w:color="auto"/>
        <w:left w:val="none" w:sz="0" w:space="0" w:color="auto"/>
        <w:bottom w:val="none" w:sz="0" w:space="0" w:color="auto"/>
        <w:right w:val="none" w:sz="0" w:space="0" w:color="auto"/>
      </w:divBdr>
    </w:div>
    <w:div w:id="1412043537">
      <w:bodyDiv w:val="1"/>
      <w:marLeft w:val="0"/>
      <w:marRight w:val="0"/>
      <w:marTop w:val="0"/>
      <w:marBottom w:val="0"/>
      <w:divBdr>
        <w:top w:val="none" w:sz="0" w:space="0" w:color="auto"/>
        <w:left w:val="none" w:sz="0" w:space="0" w:color="auto"/>
        <w:bottom w:val="none" w:sz="0" w:space="0" w:color="auto"/>
        <w:right w:val="none" w:sz="0" w:space="0" w:color="auto"/>
      </w:divBdr>
    </w:div>
    <w:div w:id="1482310618">
      <w:bodyDiv w:val="1"/>
      <w:marLeft w:val="0"/>
      <w:marRight w:val="0"/>
      <w:marTop w:val="0"/>
      <w:marBottom w:val="0"/>
      <w:divBdr>
        <w:top w:val="none" w:sz="0" w:space="0" w:color="auto"/>
        <w:left w:val="none" w:sz="0" w:space="0" w:color="auto"/>
        <w:bottom w:val="none" w:sz="0" w:space="0" w:color="auto"/>
        <w:right w:val="none" w:sz="0" w:space="0" w:color="auto"/>
      </w:divBdr>
    </w:div>
    <w:div w:id="1578857828">
      <w:bodyDiv w:val="1"/>
      <w:marLeft w:val="0"/>
      <w:marRight w:val="0"/>
      <w:marTop w:val="0"/>
      <w:marBottom w:val="0"/>
      <w:divBdr>
        <w:top w:val="none" w:sz="0" w:space="0" w:color="auto"/>
        <w:left w:val="none" w:sz="0" w:space="0" w:color="auto"/>
        <w:bottom w:val="none" w:sz="0" w:space="0" w:color="auto"/>
        <w:right w:val="none" w:sz="0" w:space="0" w:color="auto"/>
      </w:divBdr>
    </w:div>
    <w:div w:id="1605186695">
      <w:bodyDiv w:val="1"/>
      <w:marLeft w:val="0"/>
      <w:marRight w:val="0"/>
      <w:marTop w:val="0"/>
      <w:marBottom w:val="0"/>
      <w:divBdr>
        <w:top w:val="none" w:sz="0" w:space="0" w:color="auto"/>
        <w:left w:val="none" w:sz="0" w:space="0" w:color="auto"/>
        <w:bottom w:val="none" w:sz="0" w:space="0" w:color="auto"/>
        <w:right w:val="none" w:sz="0" w:space="0" w:color="auto"/>
      </w:divBdr>
    </w:div>
    <w:div w:id="1643466401">
      <w:bodyDiv w:val="1"/>
      <w:marLeft w:val="0"/>
      <w:marRight w:val="0"/>
      <w:marTop w:val="0"/>
      <w:marBottom w:val="0"/>
      <w:divBdr>
        <w:top w:val="none" w:sz="0" w:space="0" w:color="auto"/>
        <w:left w:val="none" w:sz="0" w:space="0" w:color="auto"/>
        <w:bottom w:val="none" w:sz="0" w:space="0" w:color="auto"/>
        <w:right w:val="none" w:sz="0" w:space="0" w:color="auto"/>
      </w:divBdr>
    </w:div>
    <w:div w:id="1669941559">
      <w:bodyDiv w:val="1"/>
      <w:marLeft w:val="0"/>
      <w:marRight w:val="0"/>
      <w:marTop w:val="0"/>
      <w:marBottom w:val="0"/>
      <w:divBdr>
        <w:top w:val="none" w:sz="0" w:space="0" w:color="auto"/>
        <w:left w:val="none" w:sz="0" w:space="0" w:color="auto"/>
        <w:bottom w:val="none" w:sz="0" w:space="0" w:color="auto"/>
        <w:right w:val="none" w:sz="0" w:space="0" w:color="auto"/>
      </w:divBdr>
    </w:div>
    <w:div w:id="1672441782">
      <w:bodyDiv w:val="1"/>
      <w:marLeft w:val="0"/>
      <w:marRight w:val="0"/>
      <w:marTop w:val="0"/>
      <w:marBottom w:val="0"/>
      <w:divBdr>
        <w:top w:val="none" w:sz="0" w:space="0" w:color="auto"/>
        <w:left w:val="none" w:sz="0" w:space="0" w:color="auto"/>
        <w:bottom w:val="none" w:sz="0" w:space="0" w:color="auto"/>
        <w:right w:val="none" w:sz="0" w:space="0" w:color="auto"/>
      </w:divBdr>
    </w:div>
    <w:div w:id="1742563374">
      <w:bodyDiv w:val="1"/>
      <w:marLeft w:val="0"/>
      <w:marRight w:val="0"/>
      <w:marTop w:val="0"/>
      <w:marBottom w:val="0"/>
      <w:divBdr>
        <w:top w:val="none" w:sz="0" w:space="0" w:color="auto"/>
        <w:left w:val="none" w:sz="0" w:space="0" w:color="auto"/>
        <w:bottom w:val="none" w:sz="0" w:space="0" w:color="auto"/>
        <w:right w:val="none" w:sz="0" w:space="0" w:color="auto"/>
      </w:divBdr>
    </w:div>
    <w:div w:id="1745763858">
      <w:bodyDiv w:val="1"/>
      <w:marLeft w:val="0"/>
      <w:marRight w:val="0"/>
      <w:marTop w:val="0"/>
      <w:marBottom w:val="0"/>
      <w:divBdr>
        <w:top w:val="none" w:sz="0" w:space="0" w:color="auto"/>
        <w:left w:val="none" w:sz="0" w:space="0" w:color="auto"/>
        <w:bottom w:val="none" w:sz="0" w:space="0" w:color="auto"/>
        <w:right w:val="none" w:sz="0" w:space="0" w:color="auto"/>
      </w:divBdr>
    </w:div>
    <w:div w:id="1757049067">
      <w:bodyDiv w:val="1"/>
      <w:marLeft w:val="0"/>
      <w:marRight w:val="0"/>
      <w:marTop w:val="0"/>
      <w:marBottom w:val="0"/>
      <w:divBdr>
        <w:top w:val="none" w:sz="0" w:space="0" w:color="auto"/>
        <w:left w:val="none" w:sz="0" w:space="0" w:color="auto"/>
        <w:bottom w:val="none" w:sz="0" w:space="0" w:color="auto"/>
        <w:right w:val="none" w:sz="0" w:space="0" w:color="auto"/>
      </w:divBdr>
    </w:div>
    <w:div w:id="1777749404">
      <w:bodyDiv w:val="1"/>
      <w:marLeft w:val="0"/>
      <w:marRight w:val="0"/>
      <w:marTop w:val="0"/>
      <w:marBottom w:val="0"/>
      <w:divBdr>
        <w:top w:val="none" w:sz="0" w:space="0" w:color="auto"/>
        <w:left w:val="none" w:sz="0" w:space="0" w:color="auto"/>
        <w:bottom w:val="none" w:sz="0" w:space="0" w:color="auto"/>
        <w:right w:val="none" w:sz="0" w:space="0" w:color="auto"/>
      </w:divBdr>
    </w:div>
    <w:div w:id="1897661694">
      <w:bodyDiv w:val="1"/>
      <w:marLeft w:val="0"/>
      <w:marRight w:val="0"/>
      <w:marTop w:val="0"/>
      <w:marBottom w:val="0"/>
      <w:divBdr>
        <w:top w:val="none" w:sz="0" w:space="0" w:color="auto"/>
        <w:left w:val="none" w:sz="0" w:space="0" w:color="auto"/>
        <w:bottom w:val="none" w:sz="0" w:space="0" w:color="auto"/>
        <w:right w:val="none" w:sz="0" w:space="0" w:color="auto"/>
      </w:divBdr>
    </w:div>
    <w:div w:id="2041128899">
      <w:bodyDiv w:val="1"/>
      <w:marLeft w:val="0"/>
      <w:marRight w:val="0"/>
      <w:marTop w:val="0"/>
      <w:marBottom w:val="0"/>
      <w:divBdr>
        <w:top w:val="none" w:sz="0" w:space="0" w:color="auto"/>
        <w:left w:val="none" w:sz="0" w:space="0" w:color="auto"/>
        <w:bottom w:val="none" w:sz="0" w:space="0" w:color="auto"/>
        <w:right w:val="none" w:sz="0" w:space="0" w:color="auto"/>
      </w:divBdr>
    </w:div>
    <w:div w:id="2112702132">
      <w:bodyDiv w:val="1"/>
      <w:marLeft w:val="0"/>
      <w:marRight w:val="0"/>
      <w:marTop w:val="0"/>
      <w:marBottom w:val="0"/>
      <w:divBdr>
        <w:top w:val="none" w:sz="0" w:space="0" w:color="auto"/>
        <w:left w:val="none" w:sz="0" w:space="0" w:color="auto"/>
        <w:bottom w:val="none" w:sz="0" w:space="0" w:color="auto"/>
        <w:right w:val="none" w:sz="0" w:space="0" w:color="auto"/>
      </w:divBdr>
    </w:div>
    <w:div w:id="2134013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Luka</dc:creator>
  <cp:keywords/>
  <cp:lastModifiedBy>Purpose Chifani</cp:lastModifiedBy>
  <cp:revision>2</cp:revision>
  <cp:lastPrinted>2024-11-15T01:53:00Z</cp:lastPrinted>
  <dcterms:created xsi:type="dcterms:W3CDTF">2026-04-14T12:30:00Z</dcterms:created>
  <dcterms:modified xsi:type="dcterms:W3CDTF">2026-04-14T12:30:00Z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2023-04-21T14:22:10Z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58bdfee5-714d-48c0-9aa5-5c3202175833</vt:lpwstr>
  </property>
  <property fmtid="{D5CDD505-2E9C-101B-9397-08002B2CF9AE}" pid="8" name="MSIP_Label_70d91555-27bb-46d2-9299-bbdc28766cf5_ContentBits">
    <vt:lpwstr>0</vt:lpwstr>
  </property>
</Properties>
</file>