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C5B60" w14:textId="77777777" w:rsidR="00986882" w:rsidRDefault="00E77D34" w:rsidP="00E0338F">
      <w:pPr>
        <w:spacing w:after="271"/>
        <w:ind w:left="1189"/>
      </w:pPr>
      <w:bookmarkStart w:id="0" w:name="_GoBack"/>
      <w:bookmarkEnd w:id="0"/>
      <w:r>
        <w:rPr>
          <w:rFonts w:ascii="Maiandra GD" w:eastAsia="Maiandra GD" w:hAnsi="Maiandra GD" w:cs="Maiandra GD"/>
          <w:sz w:val="28"/>
        </w:rPr>
        <w:t xml:space="preserve"> </w:t>
      </w:r>
    </w:p>
    <w:p w14:paraId="776A3C5A" w14:textId="77777777" w:rsidR="00986882" w:rsidRDefault="00E77D34">
      <w:pPr>
        <w:spacing w:after="0"/>
        <w:ind w:left="1262"/>
        <w:jc w:val="center"/>
      </w:pPr>
      <w:r>
        <w:rPr>
          <w:noProof/>
          <w:lang w:val="en-US" w:eastAsia="en-US"/>
        </w:rPr>
        <w:drawing>
          <wp:inline distT="0" distB="0" distL="0" distR="0" wp14:anchorId="0D9B38E6" wp14:editId="16E29744">
            <wp:extent cx="1196340" cy="1021080"/>
            <wp:effectExtent l="0" t="0" r="0" b="0"/>
            <wp:docPr id="162" name="Picture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aiandra GD" w:eastAsia="Maiandra GD" w:hAnsi="Maiandra GD" w:cs="Maiandra GD"/>
          <w:sz w:val="24"/>
        </w:rPr>
        <w:t xml:space="preserve"> </w:t>
      </w:r>
    </w:p>
    <w:p w14:paraId="419A37AA" w14:textId="77777777" w:rsidR="00986882" w:rsidRDefault="00E77D34">
      <w:pPr>
        <w:spacing w:after="0"/>
        <w:ind w:left="1265"/>
        <w:jc w:val="center"/>
      </w:pPr>
      <w:r>
        <w:rPr>
          <w:rFonts w:ascii="Maiandra GD" w:eastAsia="Maiandra GD" w:hAnsi="Maiandra GD" w:cs="Maiandra GD"/>
          <w:sz w:val="24"/>
        </w:rPr>
        <w:t xml:space="preserve"> </w:t>
      </w:r>
    </w:p>
    <w:p w14:paraId="54564F0C" w14:textId="77777777" w:rsidR="00986882" w:rsidRDefault="00E77D34">
      <w:pPr>
        <w:spacing w:after="0"/>
        <w:ind w:left="2683" w:hanging="10"/>
      </w:pPr>
      <w:r>
        <w:rPr>
          <w:rFonts w:ascii="Maiandra GD" w:eastAsia="Maiandra GD" w:hAnsi="Maiandra GD" w:cs="Maiandra GD"/>
          <w:sz w:val="24"/>
        </w:rPr>
        <w:t xml:space="preserve">SADC SECRETARIAT RESPONSES TO REQUESTS FOR CLARIFICATIONS </w:t>
      </w:r>
    </w:p>
    <w:p w14:paraId="0E23547B" w14:textId="77777777" w:rsidR="00986882" w:rsidRDefault="00E77D34">
      <w:pPr>
        <w:spacing w:after="0"/>
        <w:ind w:left="1265"/>
        <w:jc w:val="center"/>
      </w:pPr>
      <w:r>
        <w:rPr>
          <w:rFonts w:ascii="Maiandra GD" w:eastAsia="Maiandra GD" w:hAnsi="Maiandra GD" w:cs="Maiandra GD"/>
          <w:sz w:val="24"/>
        </w:rPr>
        <w:t xml:space="preserve"> </w:t>
      </w:r>
    </w:p>
    <w:p w14:paraId="71292DCD" w14:textId="0CD641F4" w:rsidR="00986882" w:rsidRDefault="00E77D34" w:rsidP="00D93CB9">
      <w:pPr>
        <w:spacing w:after="0"/>
        <w:ind w:left="1205" w:hanging="10"/>
        <w:jc w:val="center"/>
      </w:pPr>
      <w:r>
        <w:rPr>
          <w:rFonts w:ascii="Maiandra GD" w:eastAsia="Maiandra GD" w:hAnsi="Maiandra GD" w:cs="Maiandra GD"/>
          <w:sz w:val="24"/>
        </w:rPr>
        <w:t xml:space="preserve">REFERENCE NUMBER: </w:t>
      </w:r>
      <w:r w:rsidR="00D93CB9" w:rsidRPr="00D93CB9">
        <w:rPr>
          <w:rFonts w:ascii="Maiandra GD" w:eastAsia="Maiandra GD" w:hAnsi="Maiandra GD" w:cs="Maiandra GD"/>
          <w:sz w:val="24"/>
        </w:rPr>
        <w:t>SADC/3/5/4/93</w:t>
      </w:r>
      <w:r>
        <w:rPr>
          <w:rFonts w:ascii="Maiandra GD" w:eastAsia="Maiandra GD" w:hAnsi="Maiandra GD" w:cs="Maiandra GD"/>
          <w:sz w:val="24"/>
        </w:rPr>
        <w:t xml:space="preserve"> </w:t>
      </w:r>
    </w:p>
    <w:p w14:paraId="721FA3CD" w14:textId="17E9231A" w:rsidR="00143EBD" w:rsidRPr="00D831A1" w:rsidRDefault="00D831A1" w:rsidP="00D831A1">
      <w:pPr>
        <w:jc w:val="center"/>
        <w:rPr>
          <w:rFonts w:ascii="Maiandra GD" w:eastAsia="Maiandra GD" w:hAnsi="Maiandra GD" w:cs="Arial"/>
          <w:b/>
          <w:bCs/>
          <w:sz w:val="24"/>
        </w:rPr>
      </w:pPr>
      <w:r w:rsidRPr="00D831A1">
        <w:rPr>
          <w:rFonts w:ascii="Maiandra GD" w:eastAsia="Maiandra GD" w:hAnsi="Maiandra GD" w:cs="Arial"/>
          <w:b/>
          <w:bCs/>
          <w:sz w:val="24"/>
        </w:rPr>
        <w:t>PRE-QUALIFICATION DOCUMENT</w:t>
      </w:r>
      <w:r>
        <w:rPr>
          <w:rFonts w:ascii="Maiandra GD" w:eastAsia="Maiandra GD" w:hAnsi="Maiandra GD" w:cs="Arial"/>
          <w:b/>
          <w:bCs/>
          <w:sz w:val="24"/>
        </w:rPr>
        <w:t xml:space="preserve"> </w:t>
      </w:r>
      <w:r w:rsidRPr="00D831A1">
        <w:rPr>
          <w:rFonts w:ascii="Maiandra GD" w:eastAsia="Maiandra GD" w:hAnsi="Maiandra GD" w:cs="Arial"/>
          <w:b/>
          <w:bCs/>
          <w:sz w:val="24"/>
        </w:rPr>
        <w:t>FOR</w:t>
      </w:r>
      <w:r>
        <w:rPr>
          <w:rFonts w:ascii="Maiandra GD" w:eastAsia="Maiandra GD" w:hAnsi="Maiandra GD" w:cs="Arial"/>
          <w:b/>
          <w:bCs/>
          <w:sz w:val="24"/>
        </w:rPr>
        <w:t xml:space="preserve"> </w:t>
      </w:r>
      <w:r w:rsidRPr="00D831A1">
        <w:rPr>
          <w:rFonts w:ascii="Maiandra GD" w:eastAsia="Maiandra GD" w:hAnsi="Maiandra GD" w:cs="Arial"/>
          <w:b/>
          <w:bCs/>
          <w:sz w:val="24"/>
        </w:rPr>
        <w:t>PROCUREMENT OF PROVISION OF FACILITIES MANAGEMENT SERVICES TO THE SADC SECRETARIAT PREMISES</w:t>
      </w:r>
    </w:p>
    <w:p w14:paraId="08A639C5" w14:textId="3684DAE5" w:rsidR="00986882" w:rsidRDefault="00E77D34">
      <w:pPr>
        <w:pStyle w:val="Heading1"/>
        <w:ind w:left="1205" w:right="5"/>
        <w:jc w:val="center"/>
      </w:pPr>
      <w:r>
        <w:t>DATE OF ISSUE OF RESPONSES</w:t>
      </w:r>
      <w:r w:rsidR="006A1EEE" w:rsidRPr="00C125ED">
        <w:t xml:space="preserve">: </w:t>
      </w:r>
      <w:r w:rsidR="00BF6109">
        <w:t>23</w:t>
      </w:r>
      <w:r w:rsidR="00BF6109" w:rsidRPr="00BF6109">
        <w:rPr>
          <w:vertAlign w:val="superscript"/>
        </w:rPr>
        <w:t>rd</w:t>
      </w:r>
      <w:r w:rsidR="00BF6109">
        <w:t xml:space="preserve"> </w:t>
      </w:r>
      <w:r w:rsidR="00143EBD">
        <w:t>MAY</w:t>
      </w:r>
      <w:r w:rsidR="00C125ED" w:rsidRPr="00C125ED">
        <w:t xml:space="preserve"> 202</w:t>
      </w:r>
      <w:r w:rsidR="00BF6109">
        <w:t>4</w:t>
      </w:r>
      <w:r w:rsidR="006A1EEE">
        <w:rPr>
          <w:highlight w:val="yellow"/>
        </w:rPr>
        <w:t xml:space="preserve"> </w:t>
      </w:r>
    </w:p>
    <w:p w14:paraId="478FAC60" w14:textId="7E118145" w:rsidR="00986882" w:rsidRDefault="00E77D34">
      <w:pPr>
        <w:spacing w:after="0"/>
      </w:pPr>
      <w:r>
        <w:rPr>
          <w:rFonts w:ascii="Maiandra GD" w:eastAsia="Maiandra GD" w:hAnsi="Maiandra GD" w:cs="Maiandra GD"/>
          <w:sz w:val="24"/>
        </w:rPr>
        <w:t xml:space="preserve"> </w:t>
      </w:r>
    </w:p>
    <w:tbl>
      <w:tblPr>
        <w:tblStyle w:val="TableGrid"/>
        <w:tblW w:w="13283" w:type="dxa"/>
        <w:tblInd w:w="5" w:type="dxa"/>
        <w:tblCellMar>
          <w:top w:w="50" w:type="dxa"/>
          <w:left w:w="108" w:type="dxa"/>
          <w:right w:w="71" w:type="dxa"/>
        </w:tblCellMar>
        <w:tblLook w:val="04A0" w:firstRow="1" w:lastRow="0" w:firstColumn="1" w:lastColumn="0" w:noHBand="0" w:noVBand="1"/>
      </w:tblPr>
      <w:tblGrid>
        <w:gridCol w:w="1131"/>
        <w:gridCol w:w="8129"/>
        <w:gridCol w:w="4023"/>
      </w:tblGrid>
      <w:tr w:rsidR="00986882" w14:paraId="5B587B05" w14:textId="77777777" w:rsidTr="002A17D3">
        <w:trPr>
          <w:trHeight w:val="58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B56A" w14:textId="77777777" w:rsidR="00986882" w:rsidRDefault="00E77D34">
            <w:r>
              <w:rPr>
                <w:rFonts w:ascii="Maiandra GD" w:eastAsia="Maiandra GD" w:hAnsi="Maiandra GD" w:cs="Maiandra GD"/>
                <w:sz w:val="24"/>
              </w:rPr>
              <w:t xml:space="preserve">Question </w:t>
            </w:r>
          </w:p>
          <w:p w14:paraId="14409BD8" w14:textId="77777777" w:rsidR="00986882" w:rsidRDefault="00E77D34">
            <w:r>
              <w:rPr>
                <w:rFonts w:ascii="Maiandra GD" w:eastAsia="Maiandra GD" w:hAnsi="Maiandra GD" w:cs="Maiandra GD"/>
                <w:sz w:val="24"/>
              </w:rPr>
              <w:t>N</w:t>
            </w:r>
            <w:r>
              <w:rPr>
                <w:rFonts w:ascii="Maiandra GD" w:eastAsia="Maiandra GD" w:hAnsi="Maiandra GD" w:cs="Maiandra GD"/>
                <w:sz w:val="21"/>
                <w:u w:val="single" w:color="000000"/>
                <w:vertAlign w:val="superscript"/>
              </w:rPr>
              <w:t>o</w:t>
            </w:r>
            <w:r>
              <w:rPr>
                <w:rFonts w:ascii="Maiandra GD" w:eastAsia="Maiandra GD" w:hAnsi="Maiandra GD" w:cs="Maiandra GD"/>
                <w:sz w:val="24"/>
              </w:rPr>
              <w:t xml:space="preserve"> </w:t>
            </w:r>
          </w:p>
        </w:tc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7C86" w14:textId="77777777" w:rsidR="00986882" w:rsidRDefault="00E77D34">
            <w:r>
              <w:rPr>
                <w:rFonts w:ascii="Maiandra GD" w:eastAsia="Maiandra GD" w:hAnsi="Maiandra GD" w:cs="Maiandra GD"/>
                <w:sz w:val="24"/>
              </w:rPr>
              <w:t xml:space="preserve">Question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C5FE" w14:textId="77777777" w:rsidR="00986882" w:rsidRDefault="00E77D34">
            <w:r>
              <w:rPr>
                <w:rFonts w:ascii="Maiandra GD" w:eastAsia="Maiandra GD" w:hAnsi="Maiandra GD" w:cs="Maiandra GD"/>
                <w:sz w:val="24"/>
              </w:rPr>
              <w:t xml:space="preserve">SADC Secretariat Response </w:t>
            </w:r>
          </w:p>
          <w:p w14:paraId="34988CA6" w14:textId="77777777" w:rsidR="00986882" w:rsidRDefault="00E77D34">
            <w:r>
              <w:rPr>
                <w:rFonts w:ascii="Maiandra GD" w:eastAsia="Maiandra GD" w:hAnsi="Maiandra GD" w:cs="Maiandra GD"/>
                <w:sz w:val="24"/>
              </w:rPr>
              <w:t xml:space="preserve"> </w:t>
            </w:r>
          </w:p>
        </w:tc>
      </w:tr>
      <w:tr w:rsidR="00986882" w14:paraId="7C73EF04" w14:textId="77777777" w:rsidTr="00143EBD">
        <w:trPr>
          <w:trHeight w:val="59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49ED" w14:textId="77777777" w:rsidR="00986882" w:rsidRDefault="00E77D34">
            <w:r>
              <w:rPr>
                <w:rFonts w:ascii="Maiandra GD" w:eastAsia="Maiandra GD" w:hAnsi="Maiandra GD" w:cs="Maiandra GD"/>
                <w:sz w:val="24"/>
              </w:rPr>
              <w:t xml:space="preserve">Nr.1 </w:t>
            </w:r>
          </w:p>
        </w:tc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A900" w14:textId="78AC8377" w:rsidR="00986882" w:rsidRPr="00D45985" w:rsidRDefault="00812253" w:rsidP="00143EBD">
            <w:pPr>
              <w:rPr>
                <w:rFonts w:ascii="Maiandra GD" w:eastAsia="Times New Roman" w:hAnsi="Maiandra GD"/>
                <w:color w:val="auto"/>
                <w:sz w:val="24"/>
                <w:szCs w:val="24"/>
                <w:lang w:val="en-GB" w:eastAsia="en-GB"/>
              </w:rPr>
            </w:pPr>
            <w:r w:rsidRPr="00D45985">
              <w:rPr>
                <w:rFonts w:ascii="Maiandra GD" w:eastAsia="Times New Roman" w:hAnsi="Maiandra GD"/>
                <w:sz w:val="24"/>
                <w:szCs w:val="24"/>
              </w:rPr>
              <w:t>Valid &amp; Relevant Trading License - Which trading license do you require?  Will a PPADB Code Certification be sufficient enough? 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1A33" w14:textId="00994249" w:rsidR="00905C2C" w:rsidRPr="00D45985" w:rsidRDefault="00D755F9" w:rsidP="00B1257C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Relevant Trading licence for the business that </w:t>
            </w:r>
            <w:r w:rsidR="00657E37">
              <w:rPr>
                <w:rFonts w:ascii="Maiandra GD" w:hAnsi="Maiandra GD"/>
                <w:sz w:val="24"/>
                <w:szCs w:val="24"/>
              </w:rPr>
              <w:t>you are</w:t>
            </w:r>
            <w:r>
              <w:rPr>
                <w:rFonts w:ascii="Maiandra GD" w:hAnsi="Maiandra GD"/>
                <w:sz w:val="24"/>
                <w:szCs w:val="24"/>
              </w:rPr>
              <w:t xml:space="preserve"> operating in, however the PPADB or </w:t>
            </w:r>
            <w:r w:rsidR="0031361D">
              <w:rPr>
                <w:rFonts w:ascii="Maiandra GD" w:hAnsi="Maiandra GD"/>
                <w:sz w:val="24"/>
                <w:szCs w:val="24"/>
              </w:rPr>
              <w:t>equivalent certification</w:t>
            </w:r>
            <w:r>
              <w:rPr>
                <w:rFonts w:ascii="Maiandra GD" w:hAnsi="Maiandra GD"/>
                <w:sz w:val="24"/>
                <w:szCs w:val="24"/>
              </w:rPr>
              <w:t xml:space="preserve"> is also </w:t>
            </w:r>
            <w:r w:rsidR="00657E37">
              <w:rPr>
                <w:rFonts w:ascii="Maiandra GD" w:hAnsi="Maiandra GD"/>
                <w:sz w:val="24"/>
                <w:szCs w:val="24"/>
              </w:rPr>
              <w:t>an added advantage.</w:t>
            </w:r>
          </w:p>
        </w:tc>
      </w:tr>
      <w:tr w:rsidR="00143EBD" w14:paraId="627C8215" w14:textId="77777777" w:rsidTr="00143EBD">
        <w:trPr>
          <w:trHeight w:val="514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0AFB" w14:textId="2D23CBA3" w:rsidR="00143EBD" w:rsidRDefault="00143EBD">
            <w:pPr>
              <w:rPr>
                <w:rFonts w:ascii="Maiandra GD" w:eastAsia="Maiandra GD" w:hAnsi="Maiandra GD" w:cs="Maiandra GD"/>
                <w:sz w:val="24"/>
              </w:rPr>
            </w:pPr>
            <w:r>
              <w:rPr>
                <w:rFonts w:ascii="Maiandra GD" w:eastAsia="Maiandra GD" w:hAnsi="Maiandra GD" w:cs="Maiandra GD"/>
                <w:sz w:val="24"/>
              </w:rPr>
              <w:t>Nr.2</w:t>
            </w:r>
          </w:p>
        </w:tc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2C6D" w14:textId="00D4DFF4" w:rsidR="00143EBD" w:rsidRPr="00F06FB5" w:rsidRDefault="00713C29" w:rsidP="00D45985">
            <w:pPr>
              <w:spacing w:before="100" w:beforeAutospacing="1" w:after="100" w:afterAutospacing="1"/>
              <w:rPr>
                <w:rFonts w:ascii="Maiandra GD" w:eastAsia="Times New Roman" w:hAnsi="Maiandra GD" w:cs="Aptos"/>
                <w:sz w:val="24"/>
                <w:szCs w:val="24"/>
              </w:rPr>
            </w:pPr>
            <w:r w:rsidRPr="00F06FB5">
              <w:rPr>
                <w:rFonts w:ascii="Maiandra GD" w:eastAsia="Times New Roman" w:hAnsi="Maiandra GD"/>
                <w:sz w:val="24"/>
                <w:szCs w:val="24"/>
              </w:rPr>
              <w:t>Bank Statements - Can you clarify the duration of the Bank statement you require (3 or 6 months)? 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27E7" w14:textId="77777777" w:rsidR="00143EBD" w:rsidRDefault="005F4066" w:rsidP="00B1257C">
            <w:pPr>
              <w:rPr>
                <w:rFonts w:ascii="Maiandra GD" w:hAnsi="Maiandra GD"/>
                <w:sz w:val="24"/>
                <w:szCs w:val="24"/>
              </w:rPr>
            </w:pPr>
            <w:r w:rsidRPr="0031361D">
              <w:rPr>
                <w:rFonts w:ascii="Maiandra GD" w:hAnsi="Maiandra GD"/>
                <w:sz w:val="24"/>
                <w:szCs w:val="24"/>
              </w:rPr>
              <w:t>Provide bank statement for the last 12 months up to 3</w:t>
            </w:r>
            <w:r w:rsidR="00841343" w:rsidRPr="0031361D">
              <w:rPr>
                <w:rFonts w:ascii="Maiandra GD" w:hAnsi="Maiandra GD"/>
                <w:sz w:val="24"/>
                <w:szCs w:val="24"/>
              </w:rPr>
              <w:t>1</w:t>
            </w:r>
            <w:r w:rsidRPr="0031361D">
              <w:rPr>
                <w:rFonts w:ascii="Maiandra GD" w:hAnsi="Maiandra GD"/>
                <w:sz w:val="24"/>
                <w:szCs w:val="24"/>
              </w:rPr>
              <w:t xml:space="preserve">st </w:t>
            </w:r>
            <w:r w:rsidR="00841343" w:rsidRPr="0031361D">
              <w:rPr>
                <w:rFonts w:ascii="Maiandra GD" w:hAnsi="Maiandra GD"/>
                <w:sz w:val="24"/>
                <w:szCs w:val="24"/>
              </w:rPr>
              <w:t>March</w:t>
            </w:r>
            <w:r w:rsidRPr="0031361D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="00841343" w:rsidRPr="0031361D">
              <w:rPr>
                <w:rFonts w:ascii="Maiandra GD" w:hAnsi="Maiandra GD"/>
                <w:sz w:val="24"/>
                <w:szCs w:val="24"/>
              </w:rPr>
              <w:t>2024.</w:t>
            </w:r>
            <w:r w:rsidRPr="0031361D">
              <w:rPr>
                <w:rFonts w:ascii="Maiandra GD" w:hAnsi="Maiandra GD"/>
                <w:sz w:val="24"/>
                <w:szCs w:val="24"/>
              </w:rPr>
              <w:t xml:space="preserve"> </w:t>
            </w:r>
          </w:p>
          <w:p w14:paraId="70293C8A" w14:textId="77777777" w:rsidR="00905C2C" w:rsidRDefault="00905C2C" w:rsidP="00B1257C">
            <w:pPr>
              <w:rPr>
                <w:rFonts w:ascii="Maiandra GD" w:hAnsi="Maiandra GD"/>
                <w:sz w:val="24"/>
                <w:szCs w:val="24"/>
              </w:rPr>
            </w:pPr>
          </w:p>
          <w:p w14:paraId="376C59E4" w14:textId="77777777" w:rsidR="00905C2C" w:rsidRDefault="00905C2C" w:rsidP="00B1257C">
            <w:pPr>
              <w:rPr>
                <w:rFonts w:ascii="Maiandra GD" w:hAnsi="Maiandra GD"/>
                <w:sz w:val="24"/>
                <w:szCs w:val="24"/>
              </w:rPr>
            </w:pPr>
          </w:p>
          <w:p w14:paraId="44F4D1CF" w14:textId="77777777" w:rsidR="00905C2C" w:rsidRDefault="00905C2C" w:rsidP="00B1257C">
            <w:pPr>
              <w:rPr>
                <w:rFonts w:ascii="Maiandra GD" w:hAnsi="Maiandra GD"/>
                <w:sz w:val="24"/>
                <w:szCs w:val="24"/>
              </w:rPr>
            </w:pPr>
          </w:p>
          <w:p w14:paraId="4D8699D9" w14:textId="77777777" w:rsidR="00AF67D1" w:rsidRDefault="00AF67D1" w:rsidP="00B1257C">
            <w:pPr>
              <w:rPr>
                <w:rFonts w:ascii="Maiandra GD" w:hAnsi="Maiandra GD"/>
                <w:sz w:val="24"/>
                <w:szCs w:val="24"/>
              </w:rPr>
            </w:pPr>
          </w:p>
          <w:p w14:paraId="4CAB4B81" w14:textId="7F21C4C4" w:rsidR="00AF67D1" w:rsidRPr="0031361D" w:rsidRDefault="00AF67D1" w:rsidP="00B1257C">
            <w:pPr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F06FB5" w14:paraId="20C43CF0" w14:textId="77777777" w:rsidTr="00143EBD">
        <w:trPr>
          <w:trHeight w:val="514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2F6E" w14:textId="37E07C89" w:rsidR="00F06FB5" w:rsidRDefault="00F06FB5">
            <w:pPr>
              <w:rPr>
                <w:rFonts w:ascii="Maiandra GD" w:eastAsia="Maiandra GD" w:hAnsi="Maiandra GD" w:cs="Maiandra GD"/>
                <w:sz w:val="24"/>
              </w:rPr>
            </w:pPr>
            <w:r>
              <w:rPr>
                <w:rFonts w:ascii="Maiandra GD" w:eastAsia="Maiandra GD" w:hAnsi="Maiandra GD" w:cs="Maiandra GD"/>
                <w:sz w:val="24"/>
              </w:rPr>
              <w:lastRenderedPageBreak/>
              <w:t>Nr.3</w:t>
            </w:r>
          </w:p>
        </w:tc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3241" w14:textId="65F196B7" w:rsidR="00F06FB5" w:rsidRDefault="00F06FB5" w:rsidP="00F06FB5">
            <w:pPr>
              <w:spacing w:after="160" w:line="259" w:lineRule="auto"/>
              <w:rPr>
                <w:rFonts w:ascii="Maiandra GD" w:hAnsi="Maiandra GD"/>
                <w:b/>
                <w:bCs/>
                <w:sz w:val="24"/>
                <w:szCs w:val="24"/>
                <w:lang w:val="en-GB"/>
              </w:rPr>
            </w:pPr>
            <w:r w:rsidRPr="00F06FB5">
              <w:rPr>
                <w:rFonts w:ascii="Maiandra GD" w:hAnsi="Maiandra GD"/>
                <w:b/>
                <w:bCs/>
                <w:sz w:val="24"/>
                <w:szCs w:val="24"/>
                <w:lang w:val="en-GB"/>
              </w:rPr>
              <w:t>On the Form 2 a): Experience in implementing similar contracts.</w:t>
            </w:r>
          </w:p>
          <w:p w14:paraId="06563E3F" w14:textId="321D96F0" w:rsidR="00F06FB5" w:rsidRPr="00F06FB5" w:rsidRDefault="00F06FB5" w:rsidP="00F06FB5">
            <w:pPr>
              <w:spacing w:after="160" w:line="259" w:lineRule="auto"/>
              <w:rPr>
                <w:rFonts w:ascii="Maiandra GD" w:eastAsiaTheme="minorHAnsi" w:hAnsi="Maiandra GD" w:cs="Tahoma"/>
                <w:sz w:val="24"/>
                <w:szCs w:val="24"/>
              </w:rPr>
            </w:pPr>
            <w:r w:rsidRPr="00F06FB5">
              <w:rPr>
                <w:rFonts w:ascii="Maiandra GD" w:eastAsia="Arial" w:hAnsi="Maiandra GD" w:cs="Times New Roman"/>
                <w:sz w:val="24"/>
                <w:szCs w:val="24"/>
              </w:rPr>
              <w:t> </w:t>
            </w:r>
            <w:r w:rsidRPr="00F06FB5">
              <w:rPr>
                <w:rFonts w:ascii="Maiandra GD" w:hAnsi="Maiandra GD"/>
                <w:sz w:val="24"/>
                <w:szCs w:val="24"/>
              </w:rPr>
              <w:t>1. Where it says (insert "Contractor” or "Subcontractor” or "Contract Manager”], we were providing facility management services, does that made us a Contractor?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9B9A" w14:textId="48D67166" w:rsidR="00F06FB5" w:rsidRPr="0031361D" w:rsidRDefault="000320DE" w:rsidP="00B1257C">
            <w:pPr>
              <w:rPr>
                <w:rFonts w:ascii="Maiandra GD" w:hAnsi="Maiandra GD"/>
                <w:sz w:val="24"/>
                <w:szCs w:val="24"/>
              </w:rPr>
            </w:pPr>
            <w:r w:rsidRPr="000320DE">
              <w:rPr>
                <w:rFonts w:ascii="Maiandra GD" w:hAnsi="Maiandra GD"/>
                <w:sz w:val="24"/>
                <w:szCs w:val="24"/>
              </w:rPr>
              <w:t>P</w:t>
            </w:r>
            <w:r w:rsidR="001F401B" w:rsidRPr="000320DE">
              <w:rPr>
                <w:rFonts w:ascii="Maiandra GD" w:hAnsi="Maiandra GD"/>
                <w:sz w:val="24"/>
                <w:szCs w:val="24"/>
              </w:rPr>
              <w:t>lease specify your role</w:t>
            </w:r>
            <w:r w:rsidR="00AC2A6F" w:rsidRPr="000320DE">
              <w:rPr>
                <w:rFonts w:ascii="Maiandra GD" w:hAnsi="Maiandra GD"/>
                <w:sz w:val="24"/>
                <w:szCs w:val="24"/>
              </w:rPr>
              <w:t>s in the contract</w:t>
            </w:r>
            <w:r w:rsidR="00AF67D1">
              <w:rPr>
                <w:rFonts w:ascii="Maiandra GD" w:hAnsi="Maiandra GD"/>
                <w:sz w:val="24"/>
                <w:szCs w:val="24"/>
              </w:rPr>
              <w:t>s</w:t>
            </w:r>
            <w:r w:rsidR="00AC2A6F" w:rsidRPr="000320DE">
              <w:rPr>
                <w:rFonts w:ascii="Maiandra GD" w:hAnsi="Maiandra GD"/>
                <w:sz w:val="24"/>
                <w:szCs w:val="24"/>
              </w:rPr>
              <w:t xml:space="preserve"> that you completed or took part </w:t>
            </w:r>
            <w:r w:rsidR="009E5E43">
              <w:rPr>
                <w:rFonts w:ascii="Maiandra GD" w:hAnsi="Maiandra GD"/>
                <w:sz w:val="24"/>
                <w:szCs w:val="24"/>
              </w:rPr>
              <w:t xml:space="preserve">in </w:t>
            </w:r>
            <w:r w:rsidR="009E5E43" w:rsidRPr="000320DE">
              <w:rPr>
                <w:rFonts w:ascii="Maiandra GD" w:hAnsi="Maiandra GD"/>
                <w:sz w:val="24"/>
                <w:szCs w:val="24"/>
              </w:rPr>
              <w:t>the</w:t>
            </w:r>
            <w:r w:rsidR="00AC2A6F" w:rsidRPr="000320DE">
              <w:rPr>
                <w:rFonts w:ascii="Maiandra GD" w:hAnsi="Maiandra GD"/>
                <w:sz w:val="24"/>
                <w:szCs w:val="24"/>
              </w:rPr>
              <w:t xml:space="preserve"> past</w:t>
            </w:r>
            <w:r w:rsidR="00770594">
              <w:rPr>
                <w:rFonts w:ascii="Maiandra GD" w:hAnsi="Maiandra GD"/>
                <w:sz w:val="24"/>
                <w:szCs w:val="24"/>
              </w:rPr>
              <w:t>.</w:t>
            </w:r>
            <w:r w:rsidR="001F401B" w:rsidRPr="000320DE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="00770594">
              <w:rPr>
                <w:rFonts w:ascii="Maiandra GD" w:hAnsi="Maiandra GD"/>
                <w:sz w:val="24"/>
                <w:szCs w:val="24"/>
              </w:rPr>
              <w:t>I</w:t>
            </w:r>
            <w:r w:rsidR="00AC2A6F">
              <w:rPr>
                <w:rFonts w:ascii="Maiandra GD" w:hAnsi="Maiandra GD"/>
                <w:sz w:val="24"/>
                <w:szCs w:val="24"/>
              </w:rPr>
              <w:t>f you were contracted direct</w:t>
            </w:r>
            <w:r w:rsidR="00770594">
              <w:rPr>
                <w:rFonts w:ascii="Maiandra GD" w:hAnsi="Maiandra GD"/>
                <w:sz w:val="24"/>
                <w:szCs w:val="24"/>
              </w:rPr>
              <w:t>ly</w:t>
            </w:r>
            <w:r w:rsidR="00AC2A6F">
              <w:rPr>
                <w:rFonts w:ascii="Maiandra GD" w:hAnsi="Maiandra GD"/>
                <w:sz w:val="24"/>
                <w:szCs w:val="24"/>
              </w:rPr>
              <w:t xml:space="preserve"> by client</w:t>
            </w:r>
            <w:r w:rsidR="00AF67D1">
              <w:rPr>
                <w:rFonts w:ascii="Maiandra GD" w:hAnsi="Maiandra GD"/>
                <w:sz w:val="24"/>
                <w:szCs w:val="24"/>
              </w:rPr>
              <w:t xml:space="preserve"> and directly involved in delivering the</w:t>
            </w:r>
            <w:r w:rsidR="0032221E">
              <w:rPr>
                <w:rFonts w:ascii="Maiandra GD" w:hAnsi="Maiandra GD"/>
                <w:sz w:val="24"/>
                <w:szCs w:val="24"/>
              </w:rPr>
              <w:t xml:space="preserve"> facilities management</w:t>
            </w:r>
            <w:r w:rsidR="00AF67D1">
              <w:rPr>
                <w:rFonts w:ascii="Maiandra GD" w:hAnsi="Maiandra GD"/>
                <w:sz w:val="24"/>
                <w:szCs w:val="24"/>
              </w:rPr>
              <w:t xml:space="preserve"> project</w:t>
            </w:r>
            <w:r w:rsidR="0032221E">
              <w:rPr>
                <w:rFonts w:ascii="Maiandra GD" w:hAnsi="Maiandra GD"/>
                <w:sz w:val="24"/>
                <w:szCs w:val="24"/>
              </w:rPr>
              <w:t>s</w:t>
            </w:r>
            <w:r w:rsidR="00AF67D1">
              <w:rPr>
                <w:rFonts w:ascii="Maiandra GD" w:hAnsi="Maiandra GD"/>
                <w:sz w:val="24"/>
                <w:szCs w:val="24"/>
              </w:rPr>
              <w:t xml:space="preserve"> to the client</w:t>
            </w:r>
            <w:r w:rsidR="00770594">
              <w:rPr>
                <w:rFonts w:ascii="Maiandra GD" w:hAnsi="Maiandra GD"/>
                <w:sz w:val="24"/>
                <w:szCs w:val="24"/>
              </w:rPr>
              <w:t>, it</w:t>
            </w:r>
            <w:r w:rsidR="00AC2A6F">
              <w:rPr>
                <w:rFonts w:ascii="Maiandra GD" w:hAnsi="Maiandra GD"/>
                <w:sz w:val="24"/>
                <w:szCs w:val="24"/>
              </w:rPr>
              <w:t xml:space="preserve"> means </w:t>
            </w:r>
            <w:r w:rsidR="00770594">
              <w:rPr>
                <w:rFonts w:ascii="Maiandra GD" w:hAnsi="Maiandra GD"/>
                <w:sz w:val="24"/>
                <w:szCs w:val="24"/>
              </w:rPr>
              <w:t xml:space="preserve">that </w:t>
            </w:r>
            <w:r w:rsidR="00AC2A6F">
              <w:rPr>
                <w:rFonts w:ascii="Maiandra GD" w:hAnsi="Maiandra GD"/>
                <w:sz w:val="24"/>
                <w:szCs w:val="24"/>
              </w:rPr>
              <w:t xml:space="preserve">you </w:t>
            </w:r>
            <w:r w:rsidR="000C7AD2">
              <w:rPr>
                <w:rFonts w:ascii="Maiandra GD" w:hAnsi="Maiandra GD"/>
                <w:sz w:val="24"/>
                <w:szCs w:val="24"/>
              </w:rPr>
              <w:t>were</w:t>
            </w:r>
            <w:r w:rsidR="00AC2A6F">
              <w:rPr>
                <w:rFonts w:ascii="Maiandra GD" w:hAnsi="Maiandra GD"/>
                <w:sz w:val="24"/>
                <w:szCs w:val="24"/>
              </w:rPr>
              <w:t xml:space="preserve"> a </w:t>
            </w:r>
            <w:r w:rsidR="00AF67D1">
              <w:rPr>
                <w:rFonts w:ascii="Maiandra GD" w:hAnsi="Maiandra GD"/>
                <w:sz w:val="24"/>
                <w:szCs w:val="24"/>
              </w:rPr>
              <w:t>C</w:t>
            </w:r>
            <w:r w:rsidR="00AC2A6F">
              <w:rPr>
                <w:rFonts w:ascii="Maiandra GD" w:hAnsi="Maiandra GD"/>
                <w:sz w:val="24"/>
                <w:szCs w:val="24"/>
              </w:rPr>
              <w:t>ontractor</w:t>
            </w:r>
            <w:r w:rsidR="00770594">
              <w:rPr>
                <w:rFonts w:ascii="Maiandra GD" w:hAnsi="Maiandra GD"/>
                <w:sz w:val="24"/>
                <w:szCs w:val="24"/>
              </w:rPr>
              <w:t>. If</w:t>
            </w:r>
            <w:r w:rsidR="00AC2A6F">
              <w:rPr>
                <w:rFonts w:ascii="Maiandra GD" w:hAnsi="Maiandra GD"/>
                <w:sz w:val="24"/>
                <w:szCs w:val="24"/>
              </w:rPr>
              <w:t xml:space="preserve"> you were contracted with another </w:t>
            </w:r>
            <w:r w:rsidR="009E5E43">
              <w:rPr>
                <w:rFonts w:ascii="Maiandra GD" w:hAnsi="Maiandra GD"/>
                <w:sz w:val="24"/>
                <w:szCs w:val="24"/>
              </w:rPr>
              <w:t>contractor</w:t>
            </w:r>
            <w:r w:rsidR="00AF67D1">
              <w:rPr>
                <w:rFonts w:ascii="Maiandra GD" w:hAnsi="Maiandra GD"/>
                <w:sz w:val="24"/>
                <w:szCs w:val="24"/>
              </w:rPr>
              <w:t xml:space="preserve"> and not directly involved in delivering the</w:t>
            </w:r>
            <w:r w:rsidR="0032221E">
              <w:rPr>
                <w:rFonts w:ascii="Maiandra GD" w:hAnsi="Maiandra GD"/>
                <w:sz w:val="24"/>
                <w:szCs w:val="24"/>
              </w:rPr>
              <w:t xml:space="preserve"> facilities management</w:t>
            </w:r>
            <w:r w:rsidR="00AF67D1">
              <w:rPr>
                <w:rFonts w:ascii="Maiandra GD" w:hAnsi="Maiandra GD"/>
                <w:sz w:val="24"/>
                <w:szCs w:val="24"/>
              </w:rPr>
              <w:t xml:space="preserve"> project</w:t>
            </w:r>
            <w:r w:rsidR="0032221E">
              <w:rPr>
                <w:rFonts w:ascii="Maiandra GD" w:hAnsi="Maiandra GD"/>
                <w:sz w:val="24"/>
                <w:szCs w:val="24"/>
              </w:rPr>
              <w:t>s</w:t>
            </w:r>
            <w:r w:rsidR="00AF67D1">
              <w:rPr>
                <w:rFonts w:ascii="Maiandra GD" w:hAnsi="Maiandra GD"/>
                <w:sz w:val="24"/>
                <w:szCs w:val="24"/>
              </w:rPr>
              <w:t xml:space="preserve"> to the client</w:t>
            </w:r>
            <w:r w:rsidR="009E5E43">
              <w:rPr>
                <w:rFonts w:ascii="Maiandra GD" w:hAnsi="Maiandra GD"/>
                <w:sz w:val="24"/>
                <w:szCs w:val="24"/>
              </w:rPr>
              <w:t>, it</w:t>
            </w:r>
            <w:r w:rsidR="006F35C2">
              <w:rPr>
                <w:rFonts w:ascii="Maiandra GD" w:hAnsi="Maiandra GD"/>
                <w:sz w:val="24"/>
                <w:szCs w:val="24"/>
              </w:rPr>
              <w:t xml:space="preserve"> means</w:t>
            </w:r>
            <w:r w:rsidR="00AC2A6F">
              <w:rPr>
                <w:rFonts w:ascii="Maiandra GD" w:hAnsi="Maiandra GD"/>
                <w:sz w:val="24"/>
                <w:szCs w:val="24"/>
              </w:rPr>
              <w:t xml:space="preserve"> you </w:t>
            </w:r>
            <w:r w:rsidR="000C7AD2">
              <w:rPr>
                <w:rFonts w:ascii="Maiandra GD" w:hAnsi="Maiandra GD"/>
                <w:sz w:val="24"/>
                <w:szCs w:val="24"/>
              </w:rPr>
              <w:t>were</w:t>
            </w:r>
            <w:r w:rsidR="00AC2A6F">
              <w:rPr>
                <w:rFonts w:ascii="Maiandra GD" w:hAnsi="Maiandra GD"/>
                <w:sz w:val="24"/>
                <w:szCs w:val="24"/>
              </w:rPr>
              <w:t xml:space="preserve"> Subcontractor</w:t>
            </w:r>
            <w:r w:rsidR="009E5E43">
              <w:rPr>
                <w:rFonts w:ascii="Maiandra GD" w:hAnsi="Maiandra GD"/>
                <w:sz w:val="24"/>
                <w:szCs w:val="24"/>
              </w:rPr>
              <w:t xml:space="preserve"> or Contract Manager</w:t>
            </w:r>
            <w:r w:rsidR="00AF67D1">
              <w:rPr>
                <w:rFonts w:ascii="Maiandra GD" w:hAnsi="Maiandra GD"/>
                <w:sz w:val="24"/>
                <w:szCs w:val="24"/>
              </w:rPr>
              <w:t>.</w:t>
            </w:r>
          </w:p>
        </w:tc>
      </w:tr>
      <w:tr w:rsidR="00F06FB5" w14:paraId="1C0B1A1D" w14:textId="77777777" w:rsidTr="00AB1DC3">
        <w:trPr>
          <w:trHeight w:val="514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626E" w14:textId="736A82B0" w:rsidR="00F06FB5" w:rsidRPr="00F06FB5" w:rsidRDefault="00F06FB5">
            <w:pPr>
              <w:rPr>
                <w:rFonts w:ascii="Maiandra GD" w:eastAsia="Maiandra GD" w:hAnsi="Maiandra GD" w:cs="Maiandra GD"/>
                <w:sz w:val="24"/>
                <w:szCs w:val="24"/>
              </w:rPr>
            </w:pPr>
            <w:r w:rsidRPr="00F06FB5">
              <w:rPr>
                <w:rFonts w:ascii="Maiandra GD" w:eastAsia="Maiandra GD" w:hAnsi="Maiandra GD" w:cs="Maiandra GD"/>
                <w:sz w:val="24"/>
                <w:szCs w:val="24"/>
              </w:rPr>
              <w:t>Nr.4</w:t>
            </w:r>
          </w:p>
        </w:tc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D2515" w14:textId="77777777" w:rsidR="00F06FB5" w:rsidRPr="000320DE" w:rsidRDefault="00F06FB5" w:rsidP="00F06FB5">
            <w:pPr>
              <w:spacing w:line="254" w:lineRule="auto"/>
              <w:rPr>
                <w:rFonts w:ascii="Maiandra GD" w:eastAsia="Aptos" w:hAnsi="Maiandra GD" w:cs="Tahoma"/>
                <w:sz w:val="24"/>
                <w:szCs w:val="24"/>
                <w:lang w:val="en-US" w:eastAsia="en-US"/>
              </w:rPr>
            </w:pPr>
            <w:r w:rsidRPr="000320DE">
              <w:rPr>
                <w:rFonts w:ascii="Maiandra GD" w:eastAsia="Aptos" w:hAnsi="Maiandra GD" w:cs="Tahoma"/>
                <w:b/>
                <w:bCs/>
                <w:sz w:val="24"/>
                <w:szCs w:val="24"/>
                <w:lang w:val="en-GB" w:eastAsia="en-US"/>
              </w:rPr>
              <w:t>Form 2 b): Experience in implementing similar contracts – Area of Specialization</w:t>
            </w:r>
          </w:p>
          <w:p w14:paraId="057FB25B" w14:textId="6A78B614" w:rsidR="00F06FB5" w:rsidRPr="00B4205B" w:rsidRDefault="009E5E43" w:rsidP="00B4205B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Maiandra GD" w:eastAsia="Times New Roman" w:hAnsi="Maiandra GD" w:cs="Arial"/>
                <w:color w:val="auto"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color w:val="auto"/>
                <w:sz w:val="24"/>
                <w:szCs w:val="24"/>
              </w:rPr>
              <w:t xml:space="preserve">i. </w:t>
            </w:r>
            <w:r w:rsidR="00F06FB5" w:rsidRPr="000320DE">
              <w:rPr>
                <w:rFonts w:ascii="Maiandra GD" w:eastAsia="Times New Roman" w:hAnsi="Maiandra GD" w:cs="Arial"/>
                <w:color w:val="auto"/>
                <w:sz w:val="24"/>
                <w:szCs w:val="24"/>
              </w:rPr>
              <w:t xml:space="preserve"> We do not have a constitution or articles of association. In response to </w:t>
            </w:r>
            <w:r w:rsidR="00F06FB5" w:rsidRPr="000320DE">
              <w:rPr>
                <w:rFonts w:ascii="Maiandra GD" w:eastAsia="Times New Roman" w:hAnsi="Maiandra GD" w:cs="Arial"/>
                <w:i/>
                <w:iCs/>
                <w:color w:val="auto"/>
                <w:sz w:val="24"/>
                <w:szCs w:val="24"/>
              </w:rPr>
              <w:t>area specialization which your company had over the past [number] years pursuant to Section III, Qualification Criteria and Requirements, Sub-Factor 2.1 (b)</w:t>
            </w:r>
            <w:r w:rsidR="00B4205B" w:rsidRPr="000320DE">
              <w:rPr>
                <w:rFonts w:ascii="Maiandra GD" w:eastAsia="Times New Roman" w:hAnsi="Maiandra GD" w:cs="Arial"/>
                <w:i/>
                <w:iCs/>
                <w:color w:val="auto"/>
                <w:sz w:val="24"/>
                <w:szCs w:val="24"/>
              </w:rPr>
              <w:t>]</w:t>
            </w:r>
            <w:r w:rsidR="00B4205B">
              <w:rPr>
                <w:rFonts w:ascii="Maiandra GD" w:eastAsia="Times New Roman" w:hAnsi="Maiandra GD" w:cs="Arial"/>
                <w:i/>
                <w:iCs/>
                <w:color w:val="auto"/>
                <w:sz w:val="24"/>
                <w:szCs w:val="24"/>
              </w:rPr>
              <w:t>.</w:t>
            </w:r>
            <w:r w:rsidR="00B4205B" w:rsidRPr="00B4205B">
              <w:rPr>
                <w:rFonts w:ascii="Maiandra GD" w:eastAsia="Times New Roman" w:hAnsi="Maiandra GD" w:cs="Arial"/>
                <w:color w:val="auto"/>
                <w:sz w:val="24"/>
                <w:szCs w:val="24"/>
              </w:rPr>
              <w:t xml:space="preserve"> Can</w:t>
            </w:r>
            <w:r w:rsidR="00F06FB5" w:rsidRPr="00B4205B">
              <w:rPr>
                <w:rFonts w:ascii="Maiandra GD" w:eastAsia="Times New Roman" w:hAnsi="Maiandra GD" w:cs="Arial"/>
                <w:color w:val="auto"/>
                <w:sz w:val="24"/>
                <w:szCs w:val="24"/>
              </w:rPr>
              <w:t xml:space="preserve"> we list the PPRA Code Building Engineering Services 308 Sub 03 Facilities </w:t>
            </w:r>
            <w:r w:rsidR="008903C4" w:rsidRPr="00B4205B">
              <w:rPr>
                <w:rFonts w:ascii="Maiandra GD" w:eastAsia="Times New Roman" w:hAnsi="Maiandra GD" w:cs="Arial"/>
                <w:color w:val="auto"/>
                <w:sz w:val="24"/>
                <w:szCs w:val="24"/>
              </w:rPr>
              <w:t xml:space="preserve">Management? </w:t>
            </w:r>
          </w:p>
          <w:p w14:paraId="6E21F3C5" w14:textId="584B55B9" w:rsidR="00905C2C" w:rsidRPr="000320DE" w:rsidRDefault="00905C2C" w:rsidP="00905C2C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Maiandra GD" w:eastAsia="Times New Roman" w:hAnsi="Maiandra GD" w:cs="Arial"/>
                <w:color w:val="auto"/>
                <w:sz w:val="24"/>
                <w:szCs w:val="24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3ACF8" w14:textId="0E8E4B50" w:rsidR="006F35C2" w:rsidRDefault="006F35C2" w:rsidP="009E5E43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 w:rsidRPr="009E5E43">
              <w:rPr>
                <w:rFonts w:ascii="Maiandra GD" w:hAnsi="Maiandra GD"/>
                <w:sz w:val="24"/>
                <w:szCs w:val="24"/>
              </w:rPr>
              <w:t>The prospective bidders are to list the Completed similar contracts with cont</w:t>
            </w:r>
            <w:r w:rsidR="002D2C1D" w:rsidRPr="009E5E43">
              <w:rPr>
                <w:rFonts w:ascii="Maiandra GD" w:hAnsi="Maiandra GD"/>
                <w:sz w:val="24"/>
                <w:szCs w:val="24"/>
              </w:rPr>
              <w:t>acts</w:t>
            </w:r>
            <w:r w:rsidRPr="009E5E43">
              <w:rPr>
                <w:rFonts w:ascii="Maiandra GD" w:hAnsi="Maiandra GD"/>
                <w:sz w:val="24"/>
                <w:szCs w:val="24"/>
              </w:rPr>
              <w:t xml:space="preserve"> or proof </w:t>
            </w:r>
            <w:r w:rsidR="00770594" w:rsidRPr="009E5E43">
              <w:rPr>
                <w:rFonts w:ascii="Maiandra GD" w:hAnsi="Maiandra GD"/>
                <w:sz w:val="24"/>
                <w:szCs w:val="24"/>
              </w:rPr>
              <w:t>of</w:t>
            </w:r>
            <w:r w:rsidRPr="009E5E43">
              <w:rPr>
                <w:rFonts w:ascii="Maiandra GD" w:hAnsi="Maiandra GD"/>
                <w:sz w:val="24"/>
                <w:szCs w:val="24"/>
              </w:rPr>
              <w:t xml:space="preserve"> purchase orders</w:t>
            </w:r>
            <w:r w:rsidR="00406803" w:rsidRPr="009E5E43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="008B4BCE" w:rsidRPr="009E5E43">
              <w:rPr>
                <w:rFonts w:ascii="Maiandra GD" w:hAnsi="Maiandra GD"/>
                <w:sz w:val="24"/>
                <w:szCs w:val="24"/>
              </w:rPr>
              <w:t xml:space="preserve">and those </w:t>
            </w:r>
            <w:r w:rsidR="00316A87" w:rsidRPr="009E5E43">
              <w:rPr>
                <w:rFonts w:ascii="Maiandra GD" w:hAnsi="Maiandra GD"/>
                <w:sz w:val="24"/>
                <w:szCs w:val="24"/>
              </w:rPr>
              <w:t>activities must be at least 100% in facilities management having contributed 100</w:t>
            </w:r>
            <w:r w:rsidR="009E5E43" w:rsidRPr="009E5E43">
              <w:rPr>
                <w:rFonts w:ascii="Maiandra GD" w:hAnsi="Maiandra GD"/>
                <w:sz w:val="24"/>
                <w:szCs w:val="24"/>
              </w:rPr>
              <w:t>% in</w:t>
            </w:r>
            <w:r w:rsidR="00316A87" w:rsidRPr="009E5E43">
              <w:rPr>
                <w:rFonts w:ascii="Maiandra GD" w:hAnsi="Maiandra GD"/>
                <w:sz w:val="24"/>
                <w:szCs w:val="24"/>
              </w:rPr>
              <w:t xml:space="preserve"> the </w:t>
            </w:r>
            <w:r w:rsidR="009E5E43" w:rsidRPr="009E5E43">
              <w:rPr>
                <w:rFonts w:ascii="Maiandra GD" w:hAnsi="Maiandra GD"/>
                <w:sz w:val="24"/>
                <w:szCs w:val="24"/>
              </w:rPr>
              <w:t xml:space="preserve">total </w:t>
            </w:r>
            <w:r w:rsidR="00316A87" w:rsidRPr="009E5E43">
              <w:rPr>
                <w:rFonts w:ascii="Maiandra GD" w:hAnsi="Maiandra GD"/>
                <w:sz w:val="24"/>
                <w:szCs w:val="24"/>
              </w:rPr>
              <w:t xml:space="preserve">annual </w:t>
            </w:r>
            <w:r w:rsidR="009E5E43" w:rsidRPr="009E5E43">
              <w:rPr>
                <w:rFonts w:ascii="Maiandra GD" w:hAnsi="Maiandra GD"/>
                <w:sz w:val="24"/>
                <w:szCs w:val="24"/>
              </w:rPr>
              <w:t>turnover.</w:t>
            </w:r>
          </w:p>
          <w:p w14:paraId="70277E03" w14:textId="1A5EFF8F" w:rsidR="00AF67D1" w:rsidRDefault="00B4205B" w:rsidP="009E5E43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You can list the codes, however we need experience in implementing similar contract in the area of specialization</w:t>
            </w:r>
            <w:r w:rsidR="00AF67D1">
              <w:rPr>
                <w:rFonts w:ascii="Maiandra GD" w:hAnsi="Maiandra GD"/>
                <w:sz w:val="24"/>
                <w:szCs w:val="24"/>
              </w:rPr>
              <w:t>.</w:t>
            </w:r>
          </w:p>
          <w:p w14:paraId="2791B64B" w14:textId="37E016F6" w:rsidR="00F06FB5" w:rsidRPr="00BF3B02" w:rsidRDefault="00F06FB5" w:rsidP="00B1257C">
            <w:pPr>
              <w:rPr>
                <w:rFonts w:ascii="Maiandra GD" w:hAnsi="Maiandra GD"/>
                <w:sz w:val="24"/>
                <w:szCs w:val="24"/>
                <w:highlight w:val="yellow"/>
              </w:rPr>
            </w:pPr>
          </w:p>
        </w:tc>
      </w:tr>
      <w:tr w:rsidR="00F06FB5" w14:paraId="25339005" w14:textId="77777777" w:rsidTr="00143EBD">
        <w:trPr>
          <w:trHeight w:val="514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3CD7" w14:textId="1A8FA424" w:rsidR="00F06FB5" w:rsidRDefault="00F06FB5">
            <w:pPr>
              <w:rPr>
                <w:rFonts w:ascii="Maiandra GD" w:eastAsia="Maiandra GD" w:hAnsi="Maiandra GD" w:cs="Maiandra GD"/>
                <w:sz w:val="24"/>
              </w:rPr>
            </w:pPr>
            <w:r>
              <w:rPr>
                <w:rFonts w:ascii="Maiandra GD" w:eastAsia="Maiandra GD" w:hAnsi="Maiandra GD" w:cs="Maiandra GD"/>
                <w:sz w:val="24"/>
              </w:rPr>
              <w:t>Nr.5</w:t>
            </w:r>
          </w:p>
        </w:tc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3815" w14:textId="77777777" w:rsidR="00F06FB5" w:rsidRPr="009E5E43" w:rsidRDefault="00F06FB5" w:rsidP="00F06FB5">
            <w:pPr>
              <w:spacing w:line="254" w:lineRule="auto"/>
              <w:rPr>
                <w:rFonts w:ascii="Maiandra GD" w:eastAsia="Aptos" w:hAnsi="Maiandra GD" w:cs="Tahoma"/>
                <w:b/>
                <w:bCs/>
                <w:sz w:val="24"/>
                <w:szCs w:val="24"/>
                <w:lang w:val="en-GB" w:eastAsia="en-US"/>
              </w:rPr>
            </w:pPr>
            <w:r w:rsidRPr="009E5E43">
              <w:rPr>
                <w:rFonts w:ascii="Maiandra GD" w:eastAsia="Aptos" w:hAnsi="Maiandra GD" w:cs="Tahoma"/>
                <w:b/>
                <w:bCs/>
                <w:sz w:val="24"/>
                <w:szCs w:val="24"/>
                <w:lang w:val="en-GB" w:eastAsia="en-US"/>
              </w:rPr>
              <w:t>Form 4 b): Availability of Personnel – Expertise availability</w:t>
            </w:r>
          </w:p>
          <w:p w14:paraId="3786F963" w14:textId="77777777" w:rsidR="00F06FB5" w:rsidRPr="009E5E43" w:rsidRDefault="00F06FB5" w:rsidP="00F06FB5">
            <w:pPr>
              <w:spacing w:line="254" w:lineRule="auto"/>
              <w:rPr>
                <w:rFonts w:ascii="Maiandra GD" w:eastAsia="Aptos" w:hAnsi="Maiandra GD" w:cs="Tahoma"/>
                <w:sz w:val="24"/>
                <w:szCs w:val="24"/>
                <w:lang w:val="en-US" w:eastAsia="en-US"/>
              </w:rPr>
            </w:pPr>
          </w:p>
          <w:p w14:paraId="16D7D5A1" w14:textId="64BA73AA" w:rsidR="00F06FB5" w:rsidRPr="009E5E43" w:rsidRDefault="00F06FB5" w:rsidP="00F06FB5">
            <w:pPr>
              <w:ind w:hanging="360"/>
              <w:contextualSpacing/>
              <w:jc w:val="both"/>
              <w:rPr>
                <w:rFonts w:ascii="Arial" w:eastAsia="Times New Roman" w:hAnsi="Arial" w:cs="Arial"/>
                <w:color w:val="auto"/>
              </w:rPr>
            </w:pPr>
            <w:r w:rsidRPr="009E5E43">
              <w:rPr>
                <w:rFonts w:ascii="Maiandra GD" w:eastAsia="Arial" w:hAnsi="Maiandra GD" w:cs="Arial"/>
                <w:sz w:val="24"/>
                <w:szCs w:val="24"/>
              </w:rPr>
              <w:t>1.</w:t>
            </w:r>
            <w:r w:rsidRPr="009E5E43">
              <w:rPr>
                <w:rFonts w:ascii="Maiandra GD" w:eastAsia="Arial" w:hAnsi="Maiandra GD" w:cs="Times New Roman"/>
                <w:sz w:val="24"/>
                <w:szCs w:val="24"/>
              </w:rPr>
              <w:t xml:space="preserve">    </w:t>
            </w:r>
            <w:r w:rsidRPr="009E5E43">
              <w:rPr>
                <w:rFonts w:ascii="Maiandra GD" w:eastAsia="Times New Roman" w:hAnsi="Maiandra GD" w:cs="Arial"/>
                <w:color w:val="auto"/>
                <w:sz w:val="24"/>
                <w:szCs w:val="24"/>
              </w:rPr>
              <w:t xml:space="preserve">1. What does </w:t>
            </w:r>
            <w:r w:rsidRPr="009E5E43">
              <w:rPr>
                <w:rFonts w:ascii="Maiandra GD" w:eastAsia="Times New Roman" w:hAnsi="Maiandra GD" w:cs="Arial"/>
                <w:i/>
                <w:iCs/>
                <w:color w:val="auto"/>
                <w:sz w:val="24"/>
                <w:szCs w:val="24"/>
              </w:rPr>
              <w:t>General Qualification</w:t>
            </w:r>
            <w:r w:rsidRPr="009E5E43">
              <w:rPr>
                <w:rFonts w:ascii="Maiandra GD" w:eastAsia="Times New Roman" w:hAnsi="Maiandra GD" w:cs="Arial"/>
                <w:color w:val="auto"/>
                <w:sz w:val="24"/>
                <w:szCs w:val="24"/>
              </w:rPr>
              <w:t xml:space="preserve"> mean?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4CF0" w14:textId="202B9E26" w:rsidR="00905C2C" w:rsidRPr="009E5E43" w:rsidRDefault="00A6499D" w:rsidP="00B1257C">
            <w:pPr>
              <w:rPr>
                <w:rFonts w:ascii="Maiandra GD" w:hAnsi="Maiandra GD"/>
                <w:sz w:val="24"/>
                <w:szCs w:val="24"/>
              </w:rPr>
            </w:pPr>
            <w:r w:rsidRPr="009E5E43">
              <w:rPr>
                <w:rFonts w:ascii="Maiandra GD" w:hAnsi="Maiandra GD"/>
                <w:sz w:val="24"/>
                <w:szCs w:val="24"/>
              </w:rPr>
              <w:t xml:space="preserve">General </w:t>
            </w:r>
            <w:r w:rsidR="00AF41A7" w:rsidRPr="009E5E43">
              <w:rPr>
                <w:rFonts w:ascii="Maiandra GD" w:hAnsi="Maiandra GD"/>
                <w:sz w:val="24"/>
                <w:szCs w:val="24"/>
              </w:rPr>
              <w:t>Qualification means</w:t>
            </w:r>
            <w:r w:rsidRPr="009E5E43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="00AF41A7" w:rsidRPr="009E5E43">
              <w:rPr>
                <w:rFonts w:ascii="Maiandra GD" w:hAnsi="Maiandra GD"/>
                <w:sz w:val="24"/>
                <w:szCs w:val="24"/>
              </w:rPr>
              <w:t xml:space="preserve">Academic qualification </w:t>
            </w:r>
            <w:r w:rsidR="009E5E43" w:rsidRPr="009E5E43">
              <w:rPr>
                <w:rFonts w:ascii="Maiandra GD" w:hAnsi="Maiandra GD"/>
                <w:sz w:val="24"/>
                <w:szCs w:val="24"/>
              </w:rPr>
              <w:t>e.g.</w:t>
            </w:r>
            <w:r w:rsidR="00AF41A7" w:rsidRPr="009E5E43">
              <w:rPr>
                <w:rFonts w:ascii="Maiandra GD" w:hAnsi="Maiandra GD"/>
                <w:sz w:val="24"/>
                <w:szCs w:val="24"/>
              </w:rPr>
              <w:t xml:space="preserve"> Certificate, diploma, </w:t>
            </w:r>
            <w:r w:rsidR="0031361D" w:rsidRPr="009E5E43">
              <w:rPr>
                <w:rFonts w:ascii="Maiandra GD" w:hAnsi="Maiandra GD"/>
                <w:sz w:val="24"/>
                <w:szCs w:val="24"/>
              </w:rPr>
              <w:t>Degree, Masters</w:t>
            </w:r>
            <w:r w:rsidR="00AF41A7" w:rsidRPr="009E5E43">
              <w:rPr>
                <w:rFonts w:ascii="Maiandra GD" w:hAnsi="Maiandra GD"/>
                <w:sz w:val="24"/>
                <w:szCs w:val="24"/>
              </w:rPr>
              <w:t xml:space="preserve"> and PHD.</w:t>
            </w:r>
          </w:p>
        </w:tc>
      </w:tr>
      <w:tr w:rsidR="00F06FB5" w14:paraId="2470FA9F" w14:textId="77777777" w:rsidTr="009E5E43">
        <w:trPr>
          <w:trHeight w:val="514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BD98" w14:textId="77777777" w:rsidR="00AF67D1" w:rsidRDefault="00AF67D1">
            <w:pPr>
              <w:rPr>
                <w:rFonts w:ascii="Maiandra GD" w:eastAsia="Maiandra GD" w:hAnsi="Maiandra GD" w:cs="Maiandra GD"/>
                <w:sz w:val="24"/>
              </w:rPr>
            </w:pPr>
          </w:p>
          <w:p w14:paraId="0D7A185F" w14:textId="77777777" w:rsidR="00AF67D1" w:rsidRDefault="00AF67D1">
            <w:pPr>
              <w:rPr>
                <w:rFonts w:ascii="Maiandra GD" w:eastAsia="Maiandra GD" w:hAnsi="Maiandra GD" w:cs="Maiandra GD"/>
                <w:sz w:val="24"/>
              </w:rPr>
            </w:pPr>
          </w:p>
          <w:p w14:paraId="139D2B80" w14:textId="77777777" w:rsidR="00AF67D1" w:rsidRDefault="00AF67D1">
            <w:pPr>
              <w:rPr>
                <w:rFonts w:ascii="Maiandra GD" w:eastAsia="Maiandra GD" w:hAnsi="Maiandra GD" w:cs="Maiandra GD"/>
                <w:sz w:val="24"/>
              </w:rPr>
            </w:pPr>
          </w:p>
          <w:p w14:paraId="35BA43D6" w14:textId="77777777" w:rsidR="00AF67D1" w:rsidRDefault="00AF67D1">
            <w:pPr>
              <w:rPr>
                <w:rFonts w:ascii="Maiandra GD" w:eastAsia="Maiandra GD" w:hAnsi="Maiandra GD" w:cs="Maiandra GD"/>
                <w:sz w:val="24"/>
              </w:rPr>
            </w:pPr>
          </w:p>
          <w:p w14:paraId="5CFA6859" w14:textId="0F9A83AD" w:rsidR="00F06FB5" w:rsidRDefault="00F06FB5">
            <w:pPr>
              <w:rPr>
                <w:rFonts w:ascii="Maiandra GD" w:eastAsia="Maiandra GD" w:hAnsi="Maiandra GD" w:cs="Maiandra GD"/>
                <w:sz w:val="24"/>
              </w:rPr>
            </w:pPr>
            <w:r>
              <w:rPr>
                <w:rFonts w:ascii="Maiandra GD" w:eastAsia="Maiandra GD" w:hAnsi="Maiandra GD" w:cs="Maiandra GD"/>
                <w:sz w:val="24"/>
              </w:rPr>
              <w:t>Nr.6</w:t>
            </w:r>
          </w:p>
        </w:tc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57C8" w14:textId="77777777" w:rsidR="00AF67D1" w:rsidRDefault="00AF67D1" w:rsidP="00F06FB5">
            <w:pPr>
              <w:rPr>
                <w:rFonts w:ascii="Maiandra GD" w:hAnsi="Maiandra GD"/>
                <w:b/>
                <w:bCs/>
                <w:sz w:val="24"/>
                <w:szCs w:val="24"/>
                <w:lang w:val="en-GB"/>
              </w:rPr>
            </w:pPr>
          </w:p>
          <w:p w14:paraId="649E5025" w14:textId="77777777" w:rsidR="00AF67D1" w:rsidRDefault="00AF67D1" w:rsidP="00F06FB5">
            <w:pPr>
              <w:rPr>
                <w:rFonts w:ascii="Maiandra GD" w:hAnsi="Maiandra GD"/>
                <w:b/>
                <w:bCs/>
                <w:sz w:val="24"/>
                <w:szCs w:val="24"/>
                <w:lang w:val="en-GB"/>
              </w:rPr>
            </w:pPr>
          </w:p>
          <w:p w14:paraId="42BB7C4B" w14:textId="77777777" w:rsidR="00AF67D1" w:rsidRDefault="00AF67D1" w:rsidP="00F06FB5">
            <w:pPr>
              <w:rPr>
                <w:rFonts w:ascii="Maiandra GD" w:hAnsi="Maiandra GD"/>
                <w:b/>
                <w:bCs/>
                <w:sz w:val="24"/>
                <w:szCs w:val="24"/>
                <w:lang w:val="en-GB"/>
              </w:rPr>
            </w:pPr>
          </w:p>
          <w:p w14:paraId="5C311B2F" w14:textId="77777777" w:rsidR="00AF67D1" w:rsidRDefault="00AF67D1" w:rsidP="00F06FB5">
            <w:pPr>
              <w:rPr>
                <w:rFonts w:ascii="Maiandra GD" w:hAnsi="Maiandra GD"/>
                <w:b/>
                <w:bCs/>
                <w:sz w:val="24"/>
                <w:szCs w:val="24"/>
                <w:lang w:val="en-GB"/>
              </w:rPr>
            </w:pPr>
          </w:p>
          <w:p w14:paraId="2B45C189" w14:textId="2D9C31D9" w:rsidR="00F06FB5" w:rsidRPr="009E5E43" w:rsidRDefault="00F06FB5" w:rsidP="00F06FB5">
            <w:pPr>
              <w:rPr>
                <w:rFonts w:ascii="Maiandra GD" w:eastAsiaTheme="minorHAnsi" w:hAnsi="Maiandra GD" w:cs="Tahoma"/>
                <w:sz w:val="24"/>
                <w:szCs w:val="24"/>
              </w:rPr>
            </w:pPr>
            <w:r w:rsidRPr="009E5E43">
              <w:rPr>
                <w:rFonts w:ascii="Maiandra GD" w:hAnsi="Maiandra GD"/>
                <w:b/>
                <w:bCs/>
                <w:sz w:val="24"/>
                <w:szCs w:val="24"/>
                <w:lang w:val="en-GB"/>
              </w:rPr>
              <w:t>Form 5 Applicant Access to Required Facilities</w:t>
            </w:r>
          </w:p>
          <w:p w14:paraId="0E4A571B" w14:textId="54FC66A6" w:rsidR="00F06FB5" w:rsidRDefault="00F06FB5" w:rsidP="009E5E43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Style w:val="Emphasis"/>
                <w:rFonts w:ascii="Maiandra GD" w:hAnsi="Maiandra GD"/>
                <w:sz w:val="24"/>
                <w:szCs w:val="24"/>
              </w:rPr>
            </w:pPr>
            <w:r w:rsidRPr="009E5E43">
              <w:rPr>
                <w:rFonts w:ascii="Maiandra GD" w:hAnsi="Maiandra GD"/>
                <w:sz w:val="24"/>
                <w:szCs w:val="24"/>
              </w:rPr>
              <w:t xml:space="preserve">Please elaborate what </w:t>
            </w:r>
            <w:r w:rsidRPr="009E5E43">
              <w:rPr>
                <w:rStyle w:val="Emphasis"/>
                <w:rFonts w:ascii="Maiandra GD" w:hAnsi="Maiandra GD"/>
                <w:sz w:val="24"/>
                <w:szCs w:val="24"/>
              </w:rPr>
              <w:t>Access to Required Facilities</w:t>
            </w:r>
            <w:r w:rsidRPr="009E5E43">
              <w:rPr>
                <w:rFonts w:ascii="Maiandra GD" w:hAnsi="Maiandra GD"/>
                <w:sz w:val="24"/>
                <w:szCs w:val="24"/>
              </w:rPr>
              <w:t xml:space="preserve"> mean</w:t>
            </w:r>
            <w:r w:rsidRPr="009E5E43">
              <w:rPr>
                <w:rStyle w:val="Emphasis"/>
                <w:rFonts w:ascii="Maiandra GD" w:hAnsi="Maiandra GD"/>
                <w:sz w:val="24"/>
                <w:szCs w:val="24"/>
              </w:rPr>
              <w:t>?</w:t>
            </w:r>
          </w:p>
          <w:p w14:paraId="10129306" w14:textId="77777777" w:rsidR="009E5E43" w:rsidRDefault="009E5E43" w:rsidP="009E5E43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</w:p>
          <w:p w14:paraId="3B50EEEB" w14:textId="77777777" w:rsidR="009E5E43" w:rsidRDefault="009E5E43" w:rsidP="009E5E43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</w:p>
          <w:p w14:paraId="0D820EA7" w14:textId="5DD3B68A" w:rsidR="009E5E43" w:rsidRPr="009E5E43" w:rsidRDefault="009E5E43" w:rsidP="009E5E43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ED2FA" w14:textId="77777777" w:rsidR="00AF67D1" w:rsidRDefault="00AF67D1" w:rsidP="009E5E43">
            <w:pPr>
              <w:jc w:val="both"/>
              <w:rPr>
                <w:rFonts w:ascii="Maiandra GD" w:hAnsi="Maiandra GD"/>
                <w:sz w:val="24"/>
                <w:szCs w:val="24"/>
              </w:rPr>
            </w:pPr>
          </w:p>
          <w:p w14:paraId="665214F0" w14:textId="77777777" w:rsidR="00AF67D1" w:rsidRDefault="00AF67D1" w:rsidP="009E5E43">
            <w:pPr>
              <w:jc w:val="both"/>
              <w:rPr>
                <w:rFonts w:ascii="Maiandra GD" w:hAnsi="Maiandra GD"/>
                <w:sz w:val="24"/>
                <w:szCs w:val="24"/>
              </w:rPr>
            </w:pPr>
          </w:p>
          <w:p w14:paraId="1AA2EA11" w14:textId="77777777" w:rsidR="00AF67D1" w:rsidRDefault="00AF67D1" w:rsidP="009E5E43">
            <w:pPr>
              <w:jc w:val="both"/>
              <w:rPr>
                <w:rFonts w:ascii="Maiandra GD" w:hAnsi="Maiandra GD"/>
                <w:sz w:val="24"/>
                <w:szCs w:val="24"/>
              </w:rPr>
            </w:pPr>
          </w:p>
          <w:p w14:paraId="5178DADC" w14:textId="75FA33D2" w:rsidR="00905C2C" w:rsidRPr="009E5E43" w:rsidRDefault="009E5E43" w:rsidP="009E5E43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lastRenderedPageBreak/>
              <w:t xml:space="preserve">Access to Required Facilities means the company should have access to all key staff required </w:t>
            </w:r>
            <w:r w:rsidR="006C5870">
              <w:rPr>
                <w:rFonts w:ascii="Maiandra GD" w:hAnsi="Maiandra GD"/>
                <w:sz w:val="24"/>
                <w:szCs w:val="24"/>
              </w:rPr>
              <w:t>for</w:t>
            </w:r>
            <w:r>
              <w:rPr>
                <w:rFonts w:ascii="Maiandra GD" w:hAnsi="Maiandra GD"/>
                <w:sz w:val="24"/>
                <w:szCs w:val="24"/>
              </w:rPr>
              <w:t xml:space="preserve"> this contract or how will the company be able to hire those required qualified staff during implementation of the contract.</w:t>
            </w:r>
          </w:p>
        </w:tc>
      </w:tr>
    </w:tbl>
    <w:p w14:paraId="1F3B1054" w14:textId="77777777" w:rsidR="00986882" w:rsidRPr="007D5E44" w:rsidRDefault="00986882">
      <w:pPr>
        <w:spacing w:after="0"/>
        <w:rPr>
          <w:rFonts w:ascii="Maiandra GD" w:hAnsi="Maiandra GD"/>
          <w:sz w:val="24"/>
          <w:szCs w:val="24"/>
        </w:rPr>
      </w:pPr>
    </w:p>
    <w:p w14:paraId="37EE3112" w14:textId="77777777" w:rsidR="00986882" w:rsidRPr="007D5E44" w:rsidRDefault="00E77D34">
      <w:pPr>
        <w:spacing w:after="0"/>
        <w:ind w:left="5584" w:hanging="10"/>
        <w:rPr>
          <w:rFonts w:ascii="Maiandra GD" w:hAnsi="Maiandra GD"/>
          <w:sz w:val="24"/>
          <w:szCs w:val="24"/>
        </w:rPr>
      </w:pPr>
      <w:r w:rsidRPr="007D5E44">
        <w:rPr>
          <w:rFonts w:ascii="Maiandra GD" w:eastAsia="Maiandra GD" w:hAnsi="Maiandra GD" w:cs="Maiandra GD"/>
          <w:sz w:val="24"/>
          <w:szCs w:val="24"/>
        </w:rPr>
        <w:t xml:space="preserve">End of Responses </w:t>
      </w:r>
    </w:p>
    <w:p w14:paraId="47DD4F1D" w14:textId="77777777" w:rsidR="00986882" w:rsidRPr="007D5E44" w:rsidRDefault="00E77D34">
      <w:pPr>
        <w:spacing w:after="0"/>
        <w:ind w:left="1265"/>
        <w:jc w:val="center"/>
        <w:rPr>
          <w:rFonts w:ascii="Maiandra GD" w:hAnsi="Maiandra GD"/>
          <w:sz w:val="24"/>
          <w:szCs w:val="24"/>
        </w:rPr>
      </w:pPr>
      <w:r w:rsidRPr="007D5E44">
        <w:rPr>
          <w:rFonts w:ascii="Maiandra GD" w:eastAsia="Maiandra GD" w:hAnsi="Maiandra GD" w:cs="Maiandra GD"/>
          <w:sz w:val="24"/>
          <w:szCs w:val="24"/>
        </w:rPr>
        <w:t xml:space="preserve"> </w:t>
      </w:r>
    </w:p>
    <w:p w14:paraId="1030E1A2" w14:textId="77777777" w:rsidR="00986882" w:rsidRPr="007D5E44" w:rsidRDefault="00E77D34">
      <w:pPr>
        <w:spacing w:after="0"/>
        <w:ind w:left="10" w:right="3019" w:hanging="10"/>
        <w:jc w:val="right"/>
        <w:rPr>
          <w:rFonts w:ascii="Maiandra GD" w:hAnsi="Maiandra GD"/>
          <w:sz w:val="24"/>
          <w:szCs w:val="24"/>
        </w:rPr>
      </w:pPr>
      <w:r w:rsidRPr="007D5E44">
        <w:rPr>
          <w:rFonts w:ascii="Maiandra GD" w:eastAsia="Maiandra GD" w:hAnsi="Maiandra GD" w:cs="Maiandra GD"/>
          <w:sz w:val="24"/>
          <w:szCs w:val="24"/>
        </w:rPr>
        <w:t xml:space="preserve">Southern African Development Community </w:t>
      </w:r>
    </w:p>
    <w:p w14:paraId="3E4CAC03" w14:textId="77777777" w:rsidR="00986882" w:rsidRPr="007D5E44" w:rsidRDefault="00E77D34">
      <w:pPr>
        <w:pStyle w:val="Heading1"/>
        <w:ind w:left="5632"/>
        <w:rPr>
          <w:szCs w:val="24"/>
        </w:rPr>
      </w:pPr>
      <w:r w:rsidRPr="007D5E44">
        <w:rPr>
          <w:szCs w:val="24"/>
        </w:rPr>
        <w:t xml:space="preserve">CBD Plot 54385  </w:t>
      </w:r>
    </w:p>
    <w:p w14:paraId="1E6FD6B8" w14:textId="77777777" w:rsidR="00986882" w:rsidRPr="007D5E44" w:rsidRDefault="00E77D34" w:rsidP="00E77D34">
      <w:pPr>
        <w:spacing w:after="0"/>
        <w:ind w:left="10" w:right="2808" w:hanging="10"/>
        <w:jc w:val="right"/>
        <w:rPr>
          <w:rFonts w:ascii="Maiandra GD" w:hAnsi="Maiandra GD"/>
          <w:sz w:val="24"/>
          <w:szCs w:val="24"/>
        </w:rPr>
      </w:pPr>
      <w:r w:rsidRPr="007D5E44">
        <w:rPr>
          <w:rFonts w:ascii="Maiandra GD" w:eastAsia="Maiandra GD" w:hAnsi="Maiandra GD" w:cs="Maiandra GD"/>
          <w:sz w:val="24"/>
          <w:szCs w:val="24"/>
        </w:rPr>
        <w:t xml:space="preserve">Phone: (267) 395 1863 | Fax: (267) 397-2 848  </w:t>
      </w:r>
    </w:p>
    <w:sectPr w:rsidR="00986882" w:rsidRPr="007D5E44">
      <w:pgSz w:w="15840" w:h="12240" w:orient="landscape"/>
      <w:pgMar w:top="773" w:right="2632" w:bottom="19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4AF0E1"/>
    <w:multiLevelType w:val="hybridMultilevel"/>
    <w:tmpl w:val="D5B38A2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704574D"/>
    <w:multiLevelType w:val="hybridMultilevel"/>
    <w:tmpl w:val="D01DF2F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7FE27E8"/>
    <w:multiLevelType w:val="multilevel"/>
    <w:tmpl w:val="7D1CD9FC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3AC55D4"/>
    <w:multiLevelType w:val="hybridMultilevel"/>
    <w:tmpl w:val="6C2544A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2B818CC"/>
    <w:multiLevelType w:val="hybridMultilevel"/>
    <w:tmpl w:val="CF99AD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8FF3315"/>
    <w:multiLevelType w:val="multilevel"/>
    <w:tmpl w:val="BC48AA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D97242"/>
    <w:multiLevelType w:val="multilevel"/>
    <w:tmpl w:val="6282A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49966C"/>
    <w:multiLevelType w:val="hybridMultilevel"/>
    <w:tmpl w:val="D58D8B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2BA0F68"/>
    <w:multiLevelType w:val="multilevel"/>
    <w:tmpl w:val="7B9A3F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A72E31"/>
    <w:multiLevelType w:val="hybridMultilevel"/>
    <w:tmpl w:val="7BCA72DA"/>
    <w:lvl w:ilvl="0" w:tplc="C3645D0E">
      <w:start w:val="1"/>
      <w:numFmt w:val="decimal"/>
      <w:lvlText w:val="%1."/>
      <w:lvlJc w:val="left"/>
      <w:pPr>
        <w:ind w:left="240" w:hanging="600"/>
      </w:pPr>
      <w:rPr>
        <w:rFonts w:eastAsia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50888F62"/>
    <w:multiLevelType w:val="multilevel"/>
    <w:tmpl w:val="2AB1FDD3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2B55A2"/>
    <w:multiLevelType w:val="multilevel"/>
    <w:tmpl w:val="C6E829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C96B34"/>
    <w:multiLevelType w:val="multilevel"/>
    <w:tmpl w:val="CBBEE9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3549E5"/>
    <w:multiLevelType w:val="hybridMultilevel"/>
    <w:tmpl w:val="2E6A18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F07A5"/>
    <w:multiLevelType w:val="hybridMultilevel"/>
    <w:tmpl w:val="1BC223AE"/>
    <w:lvl w:ilvl="0" w:tplc="634E08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77C1A"/>
    <w:multiLevelType w:val="hybridMultilevel"/>
    <w:tmpl w:val="D7E61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8E00EC"/>
    <w:multiLevelType w:val="multilevel"/>
    <w:tmpl w:val="DC08DC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Calibri" w:eastAsia="Calibri" w:hAnsi="Calibri" w:cs="Calibri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257ECA"/>
    <w:multiLevelType w:val="multilevel"/>
    <w:tmpl w:val="A4E80A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7"/>
  </w:num>
  <w:num w:numId="3">
    <w:abstractNumId w:val="8"/>
  </w:num>
  <w:num w:numId="4">
    <w:abstractNumId w:val="12"/>
  </w:num>
  <w:num w:numId="5">
    <w:abstractNumId w:val="11"/>
  </w:num>
  <w:num w:numId="6">
    <w:abstractNumId w:val="16"/>
  </w:num>
  <w:num w:numId="7">
    <w:abstractNumId w:val="7"/>
  </w:num>
  <w:num w:numId="8">
    <w:abstractNumId w:val="10"/>
  </w:num>
  <w:num w:numId="9">
    <w:abstractNumId w:val="0"/>
  </w:num>
  <w:num w:numId="10">
    <w:abstractNumId w:val="4"/>
  </w:num>
  <w:num w:numId="11">
    <w:abstractNumId w:val="1"/>
  </w:num>
  <w:num w:numId="12">
    <w:abstractNumId w:val="2"/>
  </w:num>
  <w:num w:numId="13">
    <w:abstractNumId w:val="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GB" w:vendorID="64" w:dllVersion="6" w:nlCheck="1" w:checkStyle="0"/>
  <w:activeWritingStyle w:appName="MSWord" w:lang="en-ZA" w:vendorID="64" w:dllVersion="6" w:nlCheck="1" w:checkStyle="0"/>
  <w:activeWritingStyle w:appName="MSWord" w:lang="en-ZA" w:vendorID="64" w:dllVersion="0" w:nlCheck="1" w:checkStyle="0"/>
  <w:activeWritingStyle w:appName="MSWord" w:lang="en-GB" w:vendorID="64" w:dllVersion="0" w:nlCheck="1" w:checkStyle="0"/>
  <w:activeWritingStyle w:appName="MSWord" w:lang="en-ZA" w:vendorID="64" w:dllVersion="4096" w:nlCheck="1" w:checkStyle="0"/>
  <w:activeWritingStyle w:appName="MSWord" w:lang="en-GB" w:vendorID="64" w:dllVersion="4096" w:nlCheck="1" w:checkStyle="0"/>
  <w:activeWritingStyle w:appName="MSWord" w:lang="en-ZA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882"/>
    <w:rsid w:val="00024CED"/>
    <w:rsid w:val="000320DE"/>
    <w:rsid w:val="00037847"/>
    <w:rsid w:val="000C7AD2"/>
    <w:rsid w:val="00143EBD"/>
    <w:rsid w:val="0017260F"/>
    <w:rsid w:val="00194E8F"/>
    <w:rsid w:val="001A37FF"/>
    <w:rsid w:val="001F28E9"/>
    <w:rsid w:val="001F401B"/>
    <w:rsid w:val="0022001C"/>
    <w:rsid w:val="002317BA"/>
    <w:rsid w:val="00243936"/>
    <w:rsid w:val="00250D76"/>
    <w:rsid w:val="002A17D3"/>
    <w:rsid w:val="002C3763"/>
    <w:rsid w:val="002D2C1D"/>
    <w:rsid w:val="0031361D"/>
    <w:rsid w:val="00316A87"/>
    <w:rsid w:val="0032221E"/>
    <w:rsid w:val="00366BBF"/>
    <w:rsid w:val="00396928"/>
    <w:rsid w:val="003C2E30"/>
    <w:rsid w:val="003E7AF7"/>
    <w:rsid w:val="003F5A1E"/>
    <w:rsid w:val="00406803"/>
    <w:rsid w:val="00466CC9"/>
    <w:rsid w:val="004C3A51"/>
    <w:rsid w:val="005771B6"/>
    <w:rsid w:val="005E1F79"/>
    <w:rsid w:val="005F4066"/>
    <w:rsid w:val="006148D4"/>
    <w:rsid w:val="00641045"/>
    <w:rsid w:val="00657E37"/>
    <w:rsid w:val="006A1EEE"/>
    <w:rsid w:val="006C5870"/>
    <w:rsid w:val="006F35C2"/>
    <w:rsid w:val="00713C29"/>
    <w:rsid w:val="00720FDE"/>
    <w:rsid w:val="00733033"/>
    <w:rsid w:val="00770594"/>
    <w:rsid w:val="007A0896"/>
    <w:rsid w:val="007D5E44"/>
    <w:rsid w:val="00812253"/>
    <w:rsid w:val="00840820"/>
    <w:rsid w:val="00841343"/>
    <w:rsid w:val="008903C4"/>
    <w:rsid w:val="008920C4"/>
    <w:rsid w:val="008A189E"/>
    <w:rsid w:val="008A7FD7"/>
    <w:rsid w:val="008B4BCE"/>
    <w:rsid w:val="008E29EE"/>
    <w:rsid w:val="00905C2C"/>
    <w:rsid w:val="00986882"/>
    <w:rsid w:val="009E5E43"/>
    <w:rsid w:val="00A13917"/>
    <w:rsid w:val="00A6499D"/>
    <w:rsid w:val="00AB1DC3"/>
    <w:rsid w:val="00AC2A6F"/>
    <w:rsid w:val="00AF41A7"/>
    <w:rsid w:val="00AF67D1"/>
    <w:rsid w:val="00B1257C"/>
    <w:rsid w:val="00B135F9"/>
    <w:rsid w:val="00B33599"/>
    <w:rsid w:val="00B4205B"/>
    <w:rsid w:val="00B54818"/>
    <w:rsid w:val="00BB4016"/>
    <w:rsid w:val="00BF3B02"/>
    <w:rsid w:val="00BF6109"/>
    <w:rsid w:val="00C125ED"/>
    <w:rsid w:val="00C716C6"/>
    <w:rsid w:val="00CB3212"/>
    <w:rsid w:val="00D11A39"/>
    <w:rsid w:val="00D45985"/>
    <w:rsid w:val="00D755F9"/>
    <w:rsid w:val="00D831A1"/>
    <w:rsid w:val="00D93CB9"/>
    <w:rsid w:val="00D94F4A"/>
    <w:rsid w:val="00DB58A7"/>
    <w:rsid w:val="00E0338F"/>
    <w:rsid w:val="00E77D34"/>
    <w:rsid w:val="00F06FB5"/>
    <w:rsid w:val="00F774CD"/>
    <w:rsid w:val="00F90916"/>
    <w:rsid w:val="00FE345C"/>
    <w:rsid w:val="00FE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25797"/>
  <w15:docId w15:val="{DE9D7C70-161A-48E2-B713-11D789ED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698" w:hanging="10"/>
      <w:outlineLvl w:val="0"/>
    </w:pPr>
    <w:rPr>
      <w:rFonts w:ascii="Maiandra GD" w:eastAsia="Maiandra GD" w:hAnsi="Maiandra GD" w:cs="Maiandra GD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Maiandra GD" w:eastAsia="Maiandra GD" w:hAnsi="Maiandra GD" w:cs="Maiandra GD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20F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909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17D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A17D3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06FB5"/>
    <w:rPr>
      <w:rFonts w:ascii="Calibri" w:eastAsia="Calibri" w:hAnsi="Calibri" w:cs="Calibri"/>
      <w:color w:val="000000"/>
    </w:rPr>
  </w:style>
  <w:style w:type="character" w:styleId="Emphasis">
    <w:name w:val="Emphasis"/>
    <w:basedOn w:val="DefaultParagraphFont"/>
    <w:uiPriority w:val="20"/>
    <w:qFormat/>
    <w:rsid w:val="00F06FB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548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48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4818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8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818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9E5E43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cf01">
    <w:name w:val="cf01"/>
    <w:basedOn w:val="DefaultParagraphFont"/>
    <w:rsid w:val="009E5E43"/>
    <w:rPr>
      <w:rFonts w:ascii="Segoe UI" w:hAnsi="Segoe UI" w:cs="Segoe UI" w:hint="default"/>
      <w:sz w:val="18"/>
      <w:szCs w:val="1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8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Procurement Unit</dc:creator>
  <cp:keywords/>
  <cp:lastModifiedBy>Lentletse R.  Senthufhe</cp:lastModifiedBy>
  <cp:revision>2</cp:revision>
  <dcterms:created xsi:type="dcterms:W3CDTF">2024-05-23T14:29:00Z</dcterms:created>
  <dcterms:modified xsi:type="dcterms:W3CDTF">2024-05-23T14:29:00Z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2023-04-21T14:22:10Z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58bdfee5-714d-48c0-9aa5-5c3202175833</vt:lpwstr>
  </property>
  <property fmtid="{D5CDD505-2E9C-101B-9397-08002B2CF9AE}" pid="8" name="MSIP_Label_70d91555-27bb-46d2-9299-bbdc28766cf5_ContentBits">
    <vt:lpwstr>0</vt:lpwstr>
  </property>
</Properties>
</file>