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54BAC" w14:textId="3F6497FE" w:rsidR="008874A5" w:rsidRDefault="009D01E7" w:rsidP="006B57B2">
      <w:pPr>
        <w:jc w:val="center"/>
        <w:rPr>
          <w:rFonts w:ascii="Maiandra GD" w:hAnsi="Maiandra GD" w:cs="Times New Roman"/>
          <w:b/>
          <w:sz w:val="24"/>
          <w:szCs w:val="24"/>
        </w:rPr>
      </w:pPr>
      <w:bookmarkStart w:id="0" w:name="_GoBack"/>
      <w:bookmarkEnd w:id="0"/>
      <w:r>
        <w:rPr>
          <w:rFonts w:ascii="Maiandra GD" w:hAnsi="Maiandra GD" w:cs="Times New Roman"/>
          <w:b/>
          <w:noProof/>
          <w:sz w:val="24"/>
          <w:szCs w:val="24"/>
        </w:rPr>
        <w:drawing>
          <wp:inline distT="0" distB="0" distL="0" distR="0" wp14:anchorId="41C0C7FF" wp14:editId="18F1DB62">
            <wp:extent cx="1289304" cy="1289304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304" cy="12893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38CA3F" w14:textId="71D6A142" w:rsidR="006B57B2" w:rsidRPr="000A11D2" w:rsidRDefault="00306D64" w:rsidP="006B57B2">
      <w:pPr>
        <w:jc w:val="center"/>
        <w:rPr>
          <w:rFonts w:ascii="Maiandra GD" w:hAnsi="Maiandra GD" w:cs="Times New Roman"/>
          <w:b/>
          <w:sz w:val="24"/>
          <w:szCs w:val="24"/>
        </w:rPr>
      </w:pPr>
      <w:r w:rsidRPr="000A11D2">
        <w:rPr>
          <w:rFonts w:ascii="Maiandra GD" w:hAnsi="Maiandra GD" w:cs="Times New Roman"/>
          <w:b/>
          <w:sz w:val="24"/>
          <w:szCs w:val="24"/>
        </w:rPr>
        <w:t xml:space="preserve">SADC SECRETARIAT </w:t>
      </w:r>
      <w:r w:rsidR="006B57B2" w:rsidRPr="000A11D2">
        <w:rPr>
          <w:rFonts w:ascii="Maiandra GD" w:hAnsi="Maiandra GD" w:cs="Times New Roman"/>
          <w:b/>
          <w:sz w:val="24"/>
          <w:szCs w:val="24"/>
        </w:rPr>
        <w:t xml:space="preserve">RESPONSES TO </w:t>
      </w:r>
      <w:r w:rsidRPr="000A11D2">
        <w:rPr>
          <w:rFonts w:ascii="Maiandra GD" w:hAnsi="Maiandra GD" w:cs="Times New Roman"/>
          <w:b/>
          <w:sz w:val="24"/>
          <w:szCs w:val="24"/>
        </w:rPr>
        <w:t xml:space="preserve">REQUESTS FOR </w:t>
      </w:r>
      <w:r w:rsidR="006B57B2" w:rsidRPr="000A11D2">
        <w:rPr>
          <w:rFonts w:ascii="Maiandra GD" w:hAnsi="Maiandra GD" w:cs="Times New Roman"/>
          <w:b/>
          <w:sz w:val="24"/>
          <w:szCs w:val="24"/>
        </w:rPr>
        <w:t>CLARIFICATIONS</w:t>
      </w:r>
    </w:p>
    <w:p w14:paraId="750E4C51" w14:textId="2E739910" w:rsidR="00165258" w:rsidRPr="00165258" w:rsidRDefault="00C1047C" w:rsidP="00165258">
      <w:pPr>
        <w:jc w:val="center"/>
        <w:rPr>
          <w:rFonts w:ascii="Maiandra GD" w:hAnsi="Maiandra GD" w:cs="Times New Roman"/>
          <w:bCs/>
          <w:sz w:val="24"/>
          <w:szCs w:val="24"/>
          <w:lang w:val="en-GB"/>
        </w:rPr>
      </w:pPr>
      <w:r w:rsidRPr="000A11D2">
        <w:rPr>
          <w:rFonts w:ascii="Maiandra GD" w:hAnsi="Maiandra GD" w:cs="Times New Roman"/>
          <w:b/>
          <w:bCs/>
          <w:sz w:val="24"/>
          <w:szCs w:val="24"/>
          <w:lang w:val="en-GB"/>
        </w:rPr>
        <w:t xml:space="preserve">REFERENCE NUMBER: </w:t>
      </w:r>
      <w:r w:rsidR="009D01E7" w:rsidRPr="009D01E7">
        <w:rPr>
          <w:rFonts w:ascii="Maiandra GD" w:hAnsi="Maiandra GD" w:cs="Times New Roman"/>
          <w:bCs/>
          <w:sz w:val="24"/>
          <w:szCs w:val="24"/>
        </w:rPr>
        <w:t>SADC 3/5/1/87</w:t>
      </w:r>
    </w:p>
    <w:p w14:paraId="7BF4EF77" w14:textId="43F02F94" w:rsidR="00D6561C" w:rsidRDefault="00C1047C" w:rsidP="007A4E20">
      <w:pPr>
        <w:jc w:val="center"/>
        <w:rPr>
          <w:rFonts w:ascii="Maiandra GD" w:hAnsi="Maiandra GD" w:cs="Times New Roman"/>
          <w:sz w:val="24"/>
          <w:szCs w:val="24"/>
        </w:rPr>
      </w:pPr>
      <w:r w:rsidRPr="000A11D2">
        <w:rPr>
          <w:rFonts w:ascii="Maiandra GD" w:hAnsi="Maiandra GD" w:cs="Times New Roman"/>
          <w:b/>
          <w:sz w:val="24"/>
          <w:szCs w:val="24"/>
          <w:lang w:val="en-GB"/>
        </w:rPr>
        <w:t>REQUEST FOR SERVICES TITLE</w:t>
      </w:r>
      <w:r w:rsidR="00AC152A" w:rsidRPr="000A11D2">
        <w:rPr>
          <w:rFonts w:ascii="Maiandra GD" w:hAnsi="Maiandra GD" w:cs="Times New Roman"/>
          <w:b/>
          <w:sz w:val="24"/>
          <w:szCs w:val="24"/>
          <w:lang w:val="en-GB"/>
        </w:rPr>
        <w:t>:</w:t>
      </w:r>
      <w:r w:rsidR="00AC152A" w:rsidRPr="000A11D2">
        <w:rPr>
          <w:rFonts w:ascii="Maiandra GD" w:hAnsi="Maiandra GD" w:cs="Times New Roman"/>
          <w:sz w:val="24"/>
          <w:szCs w:val="24"/>
          <w:lang w:val="en-GB"/>
        </w:rPr>
        <w:t xml:space="preserve"> </w:t>
      </w:r>
      <w:r w:rsidR="009D01E7" w:rsidRPr="009D01E7">
        <w:rPr>
          <w:rFonts w:ascii="Maiandra GD" w:hAnsi="Maiandra GD" w:cs="Times New Roman"/>
          <w:sz w:val="24"/>
          <w:szCs w:val="24"/>
          <w:lang w:val="en-GB"/>
        </w:rPr>
        <w:t>WORKS CONTRACT FOR THE PROPOSED</w:t>
      </w:r>
      <w:r w:rsidR="009D01E7">
        <w:rPr>
          <w:rFonts w:ascii="Maiandra GD" w:hAnsi="Maiandra GD" w:cs="Times New Roman"/>
          <w:sz w:val="24"/>
          <w:szCs w:val="24"/>
          <w:lang w:val="en-GB"/>
        </w:rPr>
        <w:t xml:space="preserve"> </w:t>
      </w:r>
      <w:r w:rsidR="00D6561C" w:rsidRPr="00D6561C">
        <w:rPr>
          <w:rFonts w:ascii="Maiandra GD" w:hAnsi="Maiandra GD" w:cs="Times New Roman"/>
          <w:sz w:val="24"/>
          <w:szCs w:val="24"/>
        </w:rPr>
        <w:t xml:space="preserve">SADC STANDBY FORCE REGIONAL LOGISTICS DEPOT AT RASESA, BOTSWANA, </w:t>
      </w:r>
      <w:bookmarkStart w:id="1" w:name="_Hlk156569674"/>
      <w:r w:rsidR="00D6561C" w:rsidRPr="00D6561C">
        <w:rPr>
          <w:rFonts w:ascii="Maiandra GD" w:hAnsi="Maiandra GD" w:cs="Times New Roman"/>
          <w:sz w:val="24"/>
          <w:szCs w:val="24"/>
        </w:rPr>
        <w:t>TO ATTAIN INITIAL O</w:t>
      </w:r>
      <w:r w:rsidR="004A7307">
        <w:rPr>
          <w:rFonts w:ascii="Maiandra GD" w:hAnsi="Maiandra GD" w:cs="Times New Roman"/>
          <w:sz w:val="24"/>
          <w:szCs w:val="24"/>
        </w:rPr>
        <w:t>PE</w:t>
      </w:r>
      <w:r w:rsidR="00D6561C" w:rsidRPr="00D6561C">
        <w:rPr>
          <w:rFonts w:ascii="Maiandra GD" w:hAnsi="Maiandra GD" w:cs="Times New Roman"/>
          <w:sz w:val="24"/>
          <w:szCs w:val="24"/>
        </w:rPr>
        <w:t>RATING CAPABILITY</w:t>
      </w:r>
      <w:bookmarkEnd w:id="1"/>
    </w:p>
    <w:p w14:paraId="1B72A63C" w14:textId="4452DA95" w:rsidR="00146141" w:rsidRDefault="00146141" w:rsidP="007A4E20">
      <w:pPr>
        <w:jc w:val="center"/>
        <w:rPr>
          <w:rFonts w:ascii="Maiandra GD" w:hAnsi="Maiandra GD" w:cs="Times New Roman"/>
          <w:sz w:val="24"/>
          <w:szCs w:val="24"/>
        </w:rPr>
      </w:pPr>
      <w:r w:rsidRPr="000A11D2">
        <w:rPr>
          <w:rFonts w:ascii="Maiandra GD" w:hAnsi="Maiandra GD" w:cs="Times New Roman"/>
          <w:b/>
          <w:sz w:val="24"/>
          <w:szCs w:val="24"/>
        </w:rPr>
        <w:t>DATE OF ISSUE OF RESPONSES:</w:t>
      </w:r>
      <w:r w:rsidR="003A4FE5" w:rsidRPr="000A11D2">
        <w:rPr>
          <w:rFonts w:ascii="Maiandra GD" w:hAnsi="Maiandra GD" w:cs="Times New Roman"/>
          <w:sz w:val="24"/>
          <w:szCs w:val="24"/>
        </w:rPr>
        <w:t xml:space="preserve"> </w:t>
      </w:r>
      <w:r w:rsidR="004378A3">
        <w:rPr>
          <w:rFonts w:ascii="Maiandra GD" w:hAnsi="Maiandra GD" w:cs="Times New Roman"/>
          <w:sz w:val="24"/>
          <w:szCs w:val="24"/>
        </w:rPr>
        <w:t>30</w:t>
      </w:r>
      <w:r w:rsidR="004378A3" w:rsidRPr="004378A3">
        <w:rPr>
          <w:rFonts w:ascii="Maiandra GD" w:hAnsi="Maiandra GD" w:cs="Times New Roman"/>
          <w:sz w:val="24"/>
          <w:szCs w:val="24"/>
          <w:vertAlign w:val="superscript"/>
        </w:rPr>
        <w:t>th</w:t>
      </w:r>
      <w:r w:rsidR="004378A3">
        <w:rPr>
          <w:rFonts w:ascii="Maiandra GD" w:hAnsi="Maiandra GD" w:cs="Times New Roman"/>
          <w:sz w:val="24"/>
          <w:szCs w:val="24"/>
        </w:rPr>
        <w:t xml:space="preserve"> </w:t>
      </w:r>
      <w:r w:rsidR="00BC7DF0">
        <w:rPr>
          <w:rFonts w:ascii="Maiandra GD" w:hAnsi="Maiandra GD" w:cs="Times New Roman"/>
          <w:sz w:val="24"/>
          <w:szCs w:val="24"/>
        </w:rPr>
        <w:t>JANUARY 2024</w:t>
      </w:r>
    </w:p>
    <w:tbl>
      <w:tblPr>
        <w:tblStyle w:val="TableGrid"/>
        <w:tblW w:w="13135" w:type="dxa"/>
        <w:tblLayout w:type="fixed"/>
        <w:tblLook w:val="04A0" w:firstRow="1" w:lastRow="0" w:firstColumn="1" w:lastColumn="0" w:noHBand="0" w:noVBand="1"/>
      </w:tblPr>
      <w:tblGrid>
        <w:gridCol w:w="1255"/>
        <w:gridCol w:w="6210"/>
        <w:gridCol w:w="5670"/>
      </w:tblGrid>
      <w:tr w:rsidR="0064302F" w:rsidRPr="000A11D2" w14:paraId="4648E8D3" w14:textId="77777777" w:rsidTr="00546DFD">
        <w:trPr>
          <w:tblHeader/>
        </w:trPr>
        <w:tc>
          <w:tcPr>
            <w:tcW w:w="1255" w:type="dxa"/>
            <w:shd w:val="clear" w:color="auto" w:fill="D9D9D9" w:themeFill="background1" w:themeFillShade="D9"/>
          </w:tcPr>
          <w:p w14:paraId="3563B704" w14:textId="33C4A217" w:rsidR="0064302F" w:rsidRPr="000A11D2" w:rsidRDefault="0064302F" w:rsidP="000A11D2">
            <w:pPr>
              <w:rPr>
                <w:rFonts w:ascii="Maiandra GD" w:hAnsi="Maiandra GD" w:cs="Times New Roman"/>
                <w:b/>
                <w:sz w:val="24"/>
                <w:szCs w:val="24"/>
              </w:rPr>
            </w:pPr>
            <w:r w:rsidRPr="000A11D2">
              <w:rPr>
                <w:rFonts w:ascii="Maiandra GD" w:hAnsi="Maiandra GD" w:cs="Times New Roman"/>
                <w:b/>
                <w:sz w:val="24"/>
                <w:szCs w:val="24"/>
              </w:rPr>
              <w:t>Question</w:t>
            </w:r>
            <w:r w:rsidR="000A11D2">
              <w:rPr>
                <w:rFonts w:ascii="Maiandra GD" w:hAnsi="Maiandra GD" w:cs="Times New Roman"/>
                <w:b/>
                <w:sz w:val="24"/>
                <w:szCs w:val="24"/>
              </w:rPr>
              <w:t xml:space="preserve"> Nr</w:t>
            </w:r>
          </w:p>
        </w:tc>
        <w:tc>
          <w:tcPr>
            <w:tcW w:w="6210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4D70F0FD" w14:textId="4FDD9C75" w:rsidR="0064302F" w:rsidRPr="000A11D2" w:rsidRDefault="0064302F">
            <w:pPr>
              <w:rPr>
                <w:rFonts w:ascii="Maiandra GD" w:hAnsi="Maiandra GD" w:cs="Times New Roman"/>
                <w:b/>
                <w:sz w:val="24"/>
                <w:szCs w:val="24"/>
              </w:rPr>
            </w:pPr>
            <w:r w:rsidRPr="000A11D2">
              <w:rPr>
                <w:rFonts w:ascii="Maiandra GD" w:hAnsi="Maiandra GD" w:cs="Times New Roman"/>
                <w:b/>
                <w:sz w:val="24"/>
                <w:szCs w:val="24"/>
              </w:rPr>
              <w:t>Question</w:t>
            </w:r>
            <w:r w:rsidR="00316ADB">
              <w:rPr>
                <w:rFonts w:ascii="Maiandra GD" w:hAnsi="Maiandra GD" w:cs="Times New Roman"/>
                <w:b/>
                <w:sz w:val="24"/>
                <w:szCs w:val="24"/>
              </w:rPr>
              <w:t xml:space="preserve"> from the bidders </w:t>
            </w:r>
          </w:p>
        </w:tc>
        <w:tc>
          <w:tcPr>
            <w:tcW w:w="5670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5ADD3626" w14:textId="77777777" w:rsidR="0064302F" w:rsidRDefault="00695523">
            <w:pPr>
              <w:rPr>
                <w:rFonts w:ascii="Maiandra GD" w:hAnsi="Maiandra GD" w:cs="Times New Roman"/>
                <w:b/>
                <w:sz w:val="24"/>
                <w:szCs w:val="24"/>
              </w:rPr>
            </w:pPr>
            <w:r w:rsidRPr="000A11D2">
              <w:rPr>
                <w:rFonts w:ascii="Maiandra GD" w:hAnsi="Maiandra GD" w:cs="Times New Roman"/>
                <w:b/>
                <w:sz w:val="24"/>
                <w:szCs w:val="24"/>
              </w:rPr>
              <w:t xml:space="preserve">SADC Secretariat </w:t>
            </w:r>
            <w:r w:rsidR="0064302F" w:rsidRPr="000A11D2">
              <w:rPr>
                <w:rFonts w:ascii="Maiandra GD" w:hAnsi="Maiandra GD" w:cs="Times New Roman"/>
                <w:b/>
                <w:sz w:val="24"/>
                <w:szCs w:val="24"/>
              </w:rPr>
              <w:t>Response</w:t>
            </w:r>
          </w:p>
          <w:p w14:paraId="00DA0044" w14:textId="1F2B4AB1" w:rsidR="004314CD" w:rsidRPr="000A11D2" w:rsidRDefault="004314CD">
            <w:pPr>
              <w:rPr>
                <w:rFonts w:ascii="Maiandra GD" w:hAnsi="Maiandra GD" w:cs="Times New Roman"/>
                <w:b/>
                <w:sz w:val="24"/>
                <w:szCs w:val="24"/>
              </w:rPr>
            </w:pPr>
          </w:p>
        </w:tc>
      </w:tr>
      <w:tr w:rsidR="00D20ADB" w:rsidRPr="000A11D2" w14:paraId="3929355E" w14:textId="77777777" w:rsidTr="009C0346">
        <w:tc>
          <w:tcPr>
            <w:tcW w:w="1255" w:type="dxa"/>
          </w:tcPr>
          <w:p w14:paraId="03CD3220" w14:textId="7444347A" w:rsidR="00D20ADB" w:rsidRDefault="00F76476" w:rsidP="006F1C23">
            <w:pPr>
              <w:spacing w:before="60" w:after="60"/>
              <w:rPr>
                <w:rFonts w:ascii="Maiandra GD" w:hAnsi="Maiandra GD" w:cs="Times New Roman"/>
                <w:sz w:val="24"/>
                <w:szCs w:val="24"/>
              </w:rPr>
            </w:pPr>
            <w:r>
              <w:rPr>
                <w:rFonts w:ascii="Maiandra GD" w:hAnsi="Maiandra GD" w:cs="Times New Roman"/>
                <w:sz w:val="24"/>
                <w:szCs w:val="24"/>
              </w:rPr>
              <w:t>1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1C56474" w14:textId="036A25EF" w:rsidR="000730D2" w:rsidRPr="000730D2" w:rsidRDefault="00C4581C" w:rsidP="006F1C23">
            <w:pPr>
              <w:shd w:val="clear" w:color="auto" w:fill="FFFFFF"/>
              <w:spacing w:before="60" w:after="60"/>
              <w:rPr>
                <w:rFonts w:ascii="Maiandra GD" w:hAnsi="Maiandra GD" w:cs="Times New Roman"/>
                <w:b/>
                <w:bCs/>
                <w:sz w:val="24"/>
                <w:szCs w:val="24"/>
              </w:rPr>
            </w:pPr>
            <w:r>
              <w:rPr>
                <w:rFonts w:ascii="Maiandra GD" w:hAnsi="Maiandra GD" w:cs="Times New Roman"/>
                <w:b/>
                <w:bCs/>
                <w:sz w:val="24"/>
                <w:szCs w:val="24"/>
              </w:rPr>
              <w:t>Bill of Quantities for Mechanical Services Installations</w:t>
            </w:r>
            <w:r w:rsidR="00F975E9">
              <w:rPr>
                <w:rFonts w:ascii="Maiandra GD" w:hAnsi="Maiandra GD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Maiandra GD" w:hAnsi="Maiandra GD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6F07BE7" w14:textId="29C3F00E" w:rsidR="00F76476" w:rsidRPr="00F76476" w:rsidRDefault="00C4581C" w:rsidP="00C4581C">
            <w:pPr>
              <w:shd w:val="clear" w:color="auto" w:fill="FFFFFF"/>
              <w:spacing w:before="60" w:after="60"/>
              <w:rPr>
                <w:rFonts w:ascii="Maiandra GD" w:hAnsi="Maiandra GD" w:cs="Times New Roman"/>
                <w:sz w:val="24"/>
                <w:szCs w:val="24"/>
              </w:rPr>
            </w:pPr>
            <w:r>
              <w:rPr>
                <w:rFonts w:ascii="Maiandra GD" w:hAnsi="Maiandra GD" w:cs="Times New Roman"/>
                <w:sz w:val="24"/>
                <w:szCs w:val="24"/>
              </w:rPr>
              <w:t>On the Mechanical bill, after Bill No. 4 Administration Block First Floor it goes to Bill No. 2 Warehouses, then Bill No. 6 Vehicle Workshop. There is no Bill No. 5, kindly clarify this please.</w:t>
            </w:r>
          </w:p>
          <w:p w14:paraId="72089804" w14:textId="1324F462" w:rsidR="00774270" w:rsidRPr="00647D5B" w:rsidRDefault="00774270" w:rsidP="00597893">
            <w:pPr>
              <w:shd w:val="clear" w:color="auto" w:fill="FFFFFF"/>
              <w:spacing w:before="6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CB99A" w14:textId="70C650B0" w:rsidR="00551B4D" w:rsidRDefault="00DB314A" w:rsidP="00C4581C">
            <w:pPr>
              <w:spacing w:before="60" w:after="60"/>
              <w:rPr>
                <w:rFonts w:ascii="Maiandra GD" w:hAnsi="Maiandra GD" w:cs="Times New Roman"/>
                <w:sz w:val="24"/>
                <w:szCs w:val="24"/>
              </w:rPr>
            </w:pPr>
            <w:r>
              <w:rPr>
                <w:rFonts w:ascii="Maiandra GD" w:hAnsi="Maiandra GD" w:cs="Times New Roman"/>
                <w:sz w:val="24"/>
                <w:szCs w:val="24"/>
              </w:rPr>
              <w:t>We confirm that the Bill after Bill No.</w:t>
            </w:r>
            <w:r w:rsidR="00C7560F">
              <w:rPr>
                <w:rFonts w:ascii="Maiandra GD" w:hAnsi="Maiandra GD" w:cs="Times New Roman"/>
                <w:sz w:val="24"/>
                <w:szCs w:val="24"/>
              </w:rPr>
              <w:t xml:space="preserve"> 4 ironically written as “Bill No. 2 Warehouses” is Bill No. 5 Warehouses. It was a typo error by the writer. Kindly replace the 2 by 5.</w:t>
            </w:r>
          </w:p>
        </w:tc>
      </w:tr>
      <w:tr w:rsidR="001A2868" w:rsidRPr="000A11D2" w14:paraId="38DF3C89" w14:textId="77777777" w:rsidTr="009C0346">
        <w:tc>
          <w:tcPr>
            <w:tcW w:w="1255" w:type="dxa"/>
          </w:tcPr>
          <w:p w14:paraId="4A5B0776" w14:textId="2CB6FC9D" w:rsidR="001A2868" w:rsidRDefault="00B1609F" w:rsidP="006F1C23">
            <w:pPr>
              <w:spacing w:before="60" w:after="60"/>
              <w:rPr>
                <w:rFonts w:ascii="Maiandra GD" w:hAnsi="Maiandra GD" w:cs="Times New Roman"/>
                <w:sz w:val="24"/>
                <w:szCs w:val="24"/>
              </w:rPr>
            </w:pPr>
            <w:r>
              <w:rPr>
                <w:rFonts w:ascii="Maiandra GD" w:hAnsi="Maiandra GD" w:cs="Times New Roman"/>
                <w:sz w:val="24"/>
                <w:szCs w:val="24"/>
              </w:rPr>
              <w:t>2</w:t>
            </w:r>
          </w:p>
          <w:p w14:paraId="17DA7DCF" w14:textId="41350105" w:rsidR="00420F32" w:rsidRDefault="00420F32" w:rsidP="006F1C23">
            <w:pPr>
              <w:spacing w:before="60" w:after="60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0645E24" w14:textId="1F7916BD" w:rsidR="00B1609F" w:rsidRPr="00B1609F" w:rsidRDefault="00B1609F" w:rsidP="006F1C23">
            <w:pPr>
              <w:shd w:val="clear" w:color="auto" w:fill="FFFFFF"/>
              <w:spacing w:before="60" w:after="60"/>
              <w:rPr>
                <w:rFonts w:ascii="Maiandra GD" w:hAnsi="Maiandra GD" w:cs="Times New Roman"/>
                <w:b/>
                <w:bCs/>
                <w:sz w:val="24"/>
                <w:szCs w:val="24"/>
              </w:rPr>
            </w:pPr>
            <w:r w:rsidRPr="00B1609F">
              <w:rPr>
                <w:rFonts w:ascii="Maiandra GD" w:hAnsi="Maiandra GD" w:cs="Times New Roman"/>
                <w:b/>
                <w:bCs/>
                <w:sz w:val="24"/>
                <w:szCs w:val="24"/>
              </w:rPr>
              <w:t xml:space="preserve">Bill </w:t>
            </w:r>
            <w:r>
              <w:rPr>
                <w:rFonts w:ascii="Maiandra GD" w:hAnsi="Maiandra GD" w:cs="Times New Roman"/>
                <w:b/>
                <w:bCs/>
                <w:sz w:val="24"/>
                <w:szCs w:val="24"/>
              </w:rPr>
              <w:t xml:space="preserve">of </w:t>
            </w:r>
            <w:r w:rsidRPr="00B1609F">
              <w:rPr>
                <w:rFonts w:ascii="Maiandra GD" w:hAnsi="Maiandra GD" w:cs="Times New Roman"/>
                <w:b/>
                <w:bCs/>
                <w:sz w:val="24"/>
                <w:szCs w:val="24"/>
              </w:rPr>
              <w:t>Quantities</w:t>
            </w:r>
            <w:r w:rsidR="00F975E9">
              <w:rPr>
                <w:rFonts w:ascii="Maiandra GD" w:hAnsi="Maiandra GD" w:cs="Times New Roman"/>
                <w:b/>
                <w:bCs/>
                <w:sz w:val="24"/>
                <w:szCs w:val="24"/>
              </w:rPr>
              <w:t xml:space="preserve"> for Electrical Installations</w:t>
            </w:r>
            <w:r w:rsidRPr="00B1609F">
              <w:rPr>
                <w:rFonts w:ascii="Maiandra GD" w:hAnsi="Maiandra GD" w:cs="Times New Roman"/>
                <w:b/>
                <w:bCs/>
                <w:sz w:val="24"/>
                <w:szCs w:val="24"/>
              </w:rPr>
              <w:t>:</w:t>
            </w:r>
          </w:p>
          <w:p w14:paraId="2E96455A" w14:textId="0AF7ED76" w:rsidR="006328F5" w:rsidRDefault="00F975E9" w:rsidP="006F1C23">
            <w:pPr>
              <w:shd w:val="clear" w:color="auto" w:fill="FFFFFF"/>
              <w:spacing w:before="60" w:after="60"/>
              <w:rPr>
                <w:rFonts w:ascii="Maiandra GD" w:hAnsi="Maiandra GD" w:cs="Times New Roman"/>
                <w:sz w:val="24"/>
                <w:szCs w:val="24"/>
              </w:rPr>
            </w:pPr>
            <w:r>
              <w:rPr>
                <w:rFonts w:ascii="Maiandra GD" w:hAnsi="Maiandra GD" w:cs="Times New Roman"/>
                <w:sz w:val="24"/>
                <w:szCs w:val="24"/>
              </w:rPr>
              <w:t>The BoQ refers to withdr</w:t>
            </w:r>
            <w:r w:rsidR="00641BEC">
              <w:rPr>
                <w:rFonts w:ascii="Maiandra GD" w:hAnsi="Maiandra GD" w:cs="Times New Roman"/>
                <w:sz w:val="24"/>
                <w:szCs w:val="24"/>
              </w:rPr>
              <w:t>awable switchgear: 1 x Incomer Panel, 1 x Bus/Metering Panel and 2 x Feeder Panels (Item 1). There are then 4 x minisubs (Item 2).</w:t>
            </w:r>
          </w:p>
          <w:p w14:paraId="6F29C978" w14:textId="77777777" w:rsidR="001C7A03" w:rsidRDefault="001C7A03" w:rsidP="006F1C23">
            <w:pPr>
              <w:shd w:val="clear" w:color="auto" w:fill="FFFFFF"/>
              <w:spacing w:before="60" w:after="60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585F86A3" w14:textId="4C09043B" w:rsidR="00B82FB9" w:rsidRDefault="00641BEC" w:rsidP="006F1C23">
            <w:pPr>
              <w:shd w:val="clear" w:color="auto" w:fill="FFFFFF"/>
              <w:spacing w:before="60" w:after="60"/>
              <w:rPr>
                <w:rFonts w:ascii="Maiandra GD" w:hAnsi="Maiandra GD" w:cs="Times New Roman"/>
                <w:sz w:val="24"/>
                <w:szCs w:val="24"/>
              </w:rPr>
            </w:pPr>
            <w:r>
              <w:rPr>
                <w:rFonts w:ascii="Maiandra GD" w:hAnsi="Maiandra GD" w:cs="Times New Roman"/>
                <w:sz w:val="24"/>
                <w:szCs w:val="24"/>
              </w:rPr>
              <w:t xml:space="preserve">The detailed specification calls for withdrawable switchgear on </w:t>
            </w:r>
            <w:r w:rsidR="006328F5">
              <w:rPr>
                <w:rFonts w:ascii="Maiandra GD" w:hAnsi="Maiandra GD" w:cs="Times New Roman"/>
                <w:sz w:val="24"/>
                <w:szCs w:val="24"/>
              </w:rPr>
              <w:t>p</w:t>
            </w:r>
            <w:r>
              <w:rPr>
                <w:rFonts w:ascii="Maiandra GD" w:hAnsi="Maiandra GD" w:cs="Times New Roman"/>
                <w:sz w:val="24"/>
                <w:szCs w:val="24"/>
              </w:rPr>
              <w:t xml:space="preserve">age 99 (Item 3.8.1.1). The system </w:t>
            </w:r>
            <w:r>
              <w:rPr>
                <w:rFonts w:ascii="Maiandra GD" w:hAnsi="Maiandra GD" w:cs="Times New Roman"/>
                <w:sz w:val="24"/>
                <w:szCs w:val="24"/>
              </w:rPr>
              <w:lastRenderedPageBreak/>
              <w:t xml:space="preserve">conditions under Item 38.2.2 (f) have the fault level as 25kA. Two lines down, fixed patterngas insulated switchgear is mentioned. On </w:t>
            </w:r>
            <w:r w:rsidR="006328F5">
              <w:rPr>
                <w:rFonts w:ascii="Maiandra GD" w:hAnsi="Maiandra GD" w:cs="Times New Roman"/>
                <w:sz w:val="24"/>
                <w:szCs w:val="24"/>
              </w:rPr>
              <w:t>p</w:t>
            </w:r>
            <w:r>
              <w:rPr>
                <w:rFonts w:ascii="Maiandra GD" w:hAnsi="Maiandra GD" w:cs="Times New Roman"/>
                <w:sz w:val="24"/>
                <w:szCs w:val="24"/>
              </w:rPr>
              <w:t xml:space="preserve">age 101, a data sheet is given for the switchgear: </w:t>
            </w:r>
            <w:r w:rsidR="00B82FB9">
              <w:rPr>
                <w:rFonts w:ascii="Maiandra GD" w:hAnsi="Maiandra GD" w:cs="Times New Roman"/>
                <w:sz w:val="24"/>
                <w:szCs w:val="24"/>
              </w:rPr>
              <w:t>Actom RMV units are referenced (20kA fixed pattern) and there is no mention of the “Bus/Metering Panel</w:t>
            </w:r>
            <w:r w:rsidR="00A652E3">
              <w:rPr>
                <w:rFonts w:ascii="Maiandra GD" w:hAnsi="Maiandra GD" w:cs="Times New Roman"/>
                <w:sz w:val="24"/>
                <w:szCs w:val="24"/>
              </w:rPr>
              <w:t xml:space="preserve">” </w:t>
            </w:r>
            <w:r w:rsidR="00B82FB9">
              <w:rPr>
                <w:rFonts w:ascii="Maiandra GD" w:hAnsi="Maiandra GD" w:cs="Times New Roman"/>
                <w:sz w:val="24"/>
                <w:szCs w:val="24"/>
              </w:rPr>
              <w:t xml:space="preserve">called for </w:t>
            </w:r>
            <w:r w:rsidR="008A2F54">
              <w:rPr>
                <w:rFonts w:ascii="Maiandra GD" w:hAnsi="Maiandra GD" w:cs="Times New Roman"/>
                <w:sz w:val="24"/>
                <w:szCs w:val="24"/>
              </w:rPr>
              <w:t>i</w:t>
            </w:r>
            <w:r w:rsidR="00B82FB9">
              <w:rPr>
                <w:rFonts w:ascii="Maiandra GD" w:hAnsi="Maiandra GD" w:cs="Times New Roman"/>
                <w:sz w:val="24"/>
                <w:szCs w:val="24"/>
              </w:rPr>
              <w:t>n the BoQ.</w:t>
            </w:r>
          </w:p>
          <w:p w14:paraId="0B1CACE4" w14:textId="3D16A766" w:rsidR="006744FD" w:rsidRDefault="00B82FB9" w:rsidP="006F1C23">
            <w:pPr>
              <w:shd w:val="clear" w:color="auto" w:fill="FFFFFF"/>
              <w:spacing w:before="60" w:after="60"/>
              <w:rPr>
                <w:rFonts w:ascii="Maiandra GD" w:hAnsi="Maiandra GD" w:cs="Times New Roman"/>
                <w:sz w:val="24"/>
                <w:szCs w:val="24"/>
              </w:rPr>
            </w:pPr>
            <w:r>
              <w:rPr>
                <w:rFonts w:ascii="Maiandra GD" w:hAnsi="Maiandra GD" w:cs="Times New Roman"/>
                <w:sz w:val="24"/>
                <w:szCs w:val="24"/>
              </w:rPr>
              <w:t xml:space="preserve">On </w:t>
            </w:r>
            <w:r w:rsidR="006328F5">
              <w:rPr>
                <w:rFonts w:ascii="Maiandra GD" w:hAnsi="Maiandra GD" w:cs="Times New Roman"/>
                <w:sz w:val="24"/>
                <w:szCs w:val="24"/>
              </w:rPr>
              <w:t>p</w:t>
            </w:r>
            <w:r>
              <w:rPr>
                <w:rFonts w:ascii="Maiandra GD" w:hAnsi="Maiandra GD" w:cs="Times New Roman"/>
                <w:sz w:val="24"/>
                <w:szCs w:val="24"/>
              </w:rPr>
              <w:t>age 105, the spec for t</w:t>
            </w:r>
            <w:r w:rsidR="008A2F54">
              <w:rPr>
                <w:rFonts w:ascii="Maiandra GD" w:hAnsi="Maiandra GD" w:cs="Times New Roman"/>
                <w:sz w:val="24"/>
                <w:szCs w:val="24"/>
              </w:rPr>
              <w:t>h</w:t>
            </w:r>
            <w:r>
              <w:rPr>
                <w:rFonts w:ascii="Maiandra GD" w:hAnsi="Maiandra GD" w:cs="Times New Roman"/>
                <w:sz w:val="24"/>
                <w:szCs w:val="24"/>
              </w:rPr>
              <w:t xml:space="preserve">e ring main unit that is to be fitted in the minisub is provided. The fault </w:t>
            </w:r>
            <w:r w:rsidR="006744FD">
              <w:rPr>
                <w:rFonts w:ascii="Maiandra GD" w:hAnsi="Maiandra GD" w:cs="Times New Roman"/>
                <w:sz w:val="24"/>
                <w:szCs w:val="24"/>
              </w:rPr>
              <w:t>level is stated as 25kA, this is not the norm for secondary switchgear.</w:t>
            </w:r>
          </w:p>
          <w:p w14:paraId="2A302163" w14:textId="77777777" w:rsidR="006744FD" w:rsidRDefault="006744FD" w:rsidP="006F1C23">
            <w:pPr>
              <w:shd w:val="clear" w:color="auto" w:fill="FFFFFF"/>
              <w:spacing w:before="60" w:after="60"/>
              <w:rPr>
                <w:rFonts w:ascii="Maiandra GD" w:hAnsi="Maiandra GD" w:cs="Times New Roman"/>
                <w:sz w:val="24"/>
                <w:szCs w:val="24"/>
              </w:rPr>
            </w:pPr>
          </w:p>
          <w:p w14:paraId="5870DFDE" w14:textId="77777777" w:rsidR="006F1C23" w:rsidRDefault="006744FD" w:rsidP="006744FD">
            <w:pPr>
              <w:shd w:val="clear" w:color="auto" w:fill="FFFFFF"/>
              <w:spacing w:before="60" w:after="60"/>
              <w:rPr>
                <w:rFonts w:ascii="Maiandra GD" w:hAnsi="Maiandra GD" w:cs="Times New Roman"/>
                <w:sz w:val="24"/>
                <w:szCs w:val="24"/>
              </w:rPr>
            </w:pPr>
            <w:r>
              <w:rPr>
                <w:rFonts w:ascii="Maiandra GD" w:hAnsi="Maiandra GD" w:cs="Times New Roman"/>
                <w:sz w:val="24"/>
                <w:szCs w:val="24"/>
              </w:rPr>
              <w:t>The Specification document and the BoQ do not tie up.</w:t>
            </w:r>
          </w:p>
          <w:p w14:paraId="34191F0E" w14:textId="3F69D9A3" w:rsidR="006744FD" w:rsidRPr="00551B4D" w:rsidRDefault="006744FD" w:rsidP="006744FD">
            <w:pPr>
              <w:shd w:val="clear" w:color="auto" w:fill="FFFFFF"/>
              <w:spacing w:before="60" w:after="60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86A20" w14:textId="77777777" w:rsidR="001A2868" w:rsidRDefault="00C7560F" w:rsidP="00C7560F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Maiandra GD" w:hAnsi="Maiandra GD" w:cs="Times New Roman"/>
                <w:sz w:val="24"/>
                <w:szCs w:val="24"/>
              </w:rPr>
            </w:pPr>
            <w:r>
              <w:rPr>
                <w:rFonts w:ascii="Maiandra GD" w:hAnsi="Maiandra GD" w:cs="Times New Roman"/>
                <w:sz w:val="24"/>
                <w:szCs w:val="24"/>
              </w:rPr>
              <w:lastRenderedPageBreak/>
              <w:t>The description of the MV switchgear is clear, accurate and sufficient to enable pricing.</w:t>
            </w:r>
          </w:p>
          <w:p w14:paraId="7E6B931B" w14:textId="3122F1F6" w:rsidR="00C7560F" w:rsidRDefault="00C7560F" w:rsidP="00C7560F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Maiandra GD" w:hAnsi="Maiandra GD" w:cs="Times New Roman"/>
                <w:sz w:val="24"/>
                <w:szCs w:val="24"/>
              </w:rPr>
            </w:pPr>
            <w:r>
              <w:rPr>
                <w:rFonts w:ascii="Maiandra GD" w:hAnsi="Maiandra GD" w:cs="Times New Roman"/>
                <w:sz w:val="24"/>
                <w:szCs w:val="24"/>
              </w:rPr>
              <w:t>We have attached an enhanced specification clarifying the voltage</w:t>
            </w:r>
            <w:r w:rsidR="001C7A03">
              <w:rPr>
                <w:rFonts w:ascii="Maiandra GD" w:hAnsi="Maiandra GD" w:cs="Times New Roman"/>
                <w:sz w:val="24"/>
                <w:szCs w:val="24"/>
              </w:rPr>
              <w:t>s</w:t>
            </w:r>
            <w:r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  <w:r w:rsidR="005612FB">
              <w:rPr>
                <w:rFonts w:ascii="Maiandra GD" w:hAnsi="Maiandra GD" w:cs="Times New Roman"/>
                <w:sz w:val="24"/>
                <w:szCs w:val="24"/>
              </w:rPr>
              <w:t xml:space="preserve">and other parameters of the switchgear. Bidders can use the </w:t>
            </w:r>
            <w:r w:rsidR="005612FB">
              <w:rPr>
                <w:rFonts w:ascii="Maiandra GD" w:hAnsi="Maiandra GD" w:cs="Times New Roman"/>
                <w:sz w:val="24"/>
                <w:szCs w:val="24"/>
              </w:rPr>
              <w:lastRenderedPageBreak/>
              <w:t>attached specification and ignore the one in the tender document.</w:t>
            </w:r>
          </w:p>
          <w:p w14:paraId="42C9200C" w14:textId="246BFA6C" w:rsidR="005612FB" w:rsidRPr="00C7560F" w:rsidRDefault="005612FB" w:rsidP="00C7560F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Maiandra GD" w:hAnsi="Maiandra GD" w:cs="Times New Roman"/>
                <w:sz w:val="24"/>
                <w:szCs w:val="24"/>
              </w:rPr>
            </w:pPr>
            <w:r>
              <w:rPr>
                <w:rFonts w:ascii="Maiandra GD" w:hAnsi="Maiandra GD" w:cs="Times New Roman"/>
                <w:sz w:val="24"/>
                <w:szCs w:val="24"/>
              </w:rPr>
              <w:t>The BoQ remains the same.</w:t>
            </w:r>
          </w:p>
        </w:tc>
      </w:tr>
    </w:tbl>
    <w:p w14:paraId="05A8C085" w14:textId="77777777" w:rsidR="006744FD" w:rsidRDefault="006744FD" w:rsidP="007651AA">
      <w:pPr>
        <w:autoSpaceDE w:val="0"/>
        <w:autoSpaceDN w:val="0"/>
        <w:adjustRightInd w:val="0"/>
        <w:spacing w:after="0" w:line="240" w:lineRule="auto"/>
        <w:jc w:val="center"/>
        <w:rPr>
          <w:rFonts w:ascii="Maiandra GD" w:eastAsia="Calibri" w:hAnsi="Maiandra GD" w:cs="Times New Roman"/>
          <w:b/>
          <w:sz w:val="24"/>
          <w:szCs w:val="24"/>
        </w:rPr>
      </w:pPr>
    </w:p>
    <w:p w14:paraId="184435FB" w14:textId="79712BC3" w:rsidR="007651AA" w:rsidRPr="000A11D2" w:rsidRDefault="007651AA" w:rsidP="007651AA">
      <w:pPr>
        <w:autoSpaceDE w:val="0"/>
        <w:autoSpaceDN w:val="0"/>
        <w:adjustRightInd w:val="0"/>
        <w:spacing w:after="0" w:line="240" w:lineRule="auto"/>
        <w:jc w:val="center"/>
        <w:rPr>
          <w:rFonts w:ascii="Maiandra GD" w:eastAsia="Calibri" w:hAnsi="Maiandra GD" w:cs="Times New Roman"/>
          <w:b/>
          <w:sz w:val="24"/>
          <w:szCs w:val="24"/>
        </w:rPr>
      </w:pPr>
      <w:r w:rsidRPr="000A11D2">
        <w:rPr>
          <w:rFonts w:ascii="Maiandra GD" w:eastAsia="Calibri" w:hAnsi="Maiandra GD" w:cs="Times New Roman"/>
          <w:b/>
          <w:sz w:val="24"/>
          <w:szCs w:val="24"/>
        </w:rPr>
        <w:t>End of Responses</w:t>
      </w:r>
    </w:p>
    <w:p w14:paraId="0BD79CFA" w14:textId="77777777" w:rsidR="007651AA" w:rsidRPr="000A11D2" w:rsidRDefault="007651AA" w:rsidP="007651AA">
      <w:pPr>
        <w:autoSpaceDE w:val="0"/>
        <w:autoSpaceDN w:val="0"/>
        <w:adjustRightInd w:val="0"/>
        <w:spacing w:after="0" w:line="240" w:lineRule="auto"/>
        <w:jc w:val="center"/>
        <w:rPr>
          <w:rFonts w:ascii="Maiandra GD" w:eastAsia="Calibri" w:hAnsi="Maiandra GD" w:cs="Times New Roman"/>
          <w:b/>
          <w:sz w:val="24"/>
          <w:szCs w:val="24"/>
        </w:rPr>
      </w:pPr>
    </w:p>
    <w:p w14:paraId="69ADDE89" w14:textId="77777777" w:rsidR="007651AA" w:rsidRPr="000A11D2" w:rsidRDefault="007651AA" w:rsidP="007651AA">
      <w:pPr>
        <w:autoSpaceDE w:val="0"/>
        <w:autoSpaceDN w:val="0"/>
        <w:adjustRightInd w:val="0"/>
        <w:spacing w:after="0" w:line="240" w:lineRule="auto"/>
        <w:jc w:val="center"/>
        <w:rPr>
          <w:rFonts w:ascii="Maiandra GD" w:eastAsia="Calibri" w:hAnsi="Maiandra GD" w:cs="Times New Roman"/>
          <w:sz w:val="24"/>
          <w:szCs w:val="24"/>
        </w:rPr>
      </w:pPr>
      <w:r w:rsidRPr="000A11D2">
        <w:rPr>
          <w:rFonts w:ascii="Maiandra GD" w:eastAsia="Calibri" w:hAnsi="Maiandra GD" w:cs="Times New Roman"/>
          <w:sz w:val="24"/>
          <w:szCs w:val="24"/>
        </w:rPr>
        <w:t>Southern African Development Community</w:t>
      </w:r>
    </w:p>
    <w:p w14:paraId="4E3F250E" w14:textId="77777777" w:rsidR="007651AA" w:rsidRPr="000A11D2" w:rsidRDefault="007651AA" w:rsidP="007651AA">
      <w:pPr>
        <w:autoSpaceDE w:val="0"/>
        <w:autoSpaceDN w:val="0"/>
        <w:adjustRightInd w:val="0"/>
        <w:spacing w:after="0" w:line="240" w:lineRule="auto"/>
        <w:jc w:val="center"/>
        <w:rPr>
          <w:rFonts w:ascii="Maiandra GD" w:eastAsia="Calibri" w:hAnsi="Maiandra GD" w:cs="Times New Roman"/>
          <w:sz w:val="24"/>
          <w:szCs w:val="24"/>
        </w:rPr>
      </w:pPr>
      <w:r w:rsidRPr="000A11D2">
        <w:rPr>
          <w:rFonts w:ascii="Maiandra GD" w:eastAsia="Calibri" w:hAnsi="Maiandra GD" w:cs="Times New Roman"/>
          <w:sz w:val="24"/>
          <w:szCs w:val="24"/>
        </w:rPr>
        <w:t xml:space="preserve">CBD Plot 54385 </w:t>
      </w:r>
    </w:p>
    <w:p w14:paraId="5871935B" w14:textId="139BB85E" w:rsidR="000F4B53" w:rsidRDefault="007651AA" w:rsidP="006D1766">
      <w:pPr>
        <w:autoSpaceDE w:val="0"/>
        <w:autoSpaceDN w:val="0"/>
        <w:adjustRightInd w:val="0"/>
        <w:spacing w:after="0" w:line="240" w:lineRule="auto"/>
        <w:jc w:val="center"/>
        <w:rPr>
          <w:rFonts w:ascii="Maiandra GD" w:eastAsia="Calibri" w:hAnsi="Maiandra GD" w:cs="Times New Roman"/>
          <w:sz w:val="24"/>
          <w:szCs w:val="24"/>
        </w:rPr>
      </w:pPr>
      <w:r w:rsidRPr="000A11D2">
        <w:rPr>
          <w:rFonts w:ascii="Maiandra GD" w:eastAsia="Calibri" w:hAnsi="Maiandra GD" w:cs="Times New Roman"/>
          <w:sz w:val="24"/>
          <w:szCs w:val="24"/>
        </w:rPr>
        <w:t>Phone: (267) 395 1863 | Fax: (267) 397-2 848</w:t>
      </w:r>
    </w:p>
    <w:p w14:paraId="34D2EC3D" w14:textId="77777777" w:rsidR="004A7307" w:rsidRPr="004A7307" w:rsidRDefault="004A7307" w:rsidP="004A7307">
      <w:pPr>
        <w:rPr>
          <w:rFonts w:ascii="Maiandra GD" w:eastAsia="Calibri" w:hAnsi="Maiandra GD" w:cs="Times New Roman"/>
          <w:sz w:val="24"/>
          <w:szCs w:val="24"/>
        </w:rPr>
      </w:pPr>
    </w:p>
    <w:p w14:paraId="7B75C517" w14:textId="77777777" w:rsidR="004A7307" w:rsidRPr="004A7307" w:rsidRDefault="004A7307" w:rsidP="004A7307">
      <w:pPr>
        <w:rPr>
          <w:rFonts w:ascii="Maiandra GD" w:eastAsia="Calibri" w:hAnsi="Maiandra GD" w:cs="Times New Roman"/>
          <w:sz w:val="24"/>
          <w:szCs w:val="24"/>
        </w:rPr>
      </w:pPr>
    </w:p>
    <w:p w14:paraId="3EEA6B85" w14:textId="77777777" w:rsidR="004A7307" w:rsidRDefault="004A7307" w:rsidP="004A7307">
      <w:pPr>
        <w:rPr>
          <w:rFonts w:ascii="Maiandra GD" w:eastAsia="Calibri" w:hAnsi="Maiandra GD" w:cs="Times New Roman"/>
          <w:sz w:val="24"/>
          <w:szCs w:val="24"/>
        </w:rPr>
      </w:pPr>
    </w:p>
    <w:p w14:paraId="1FC3FAB0" w14:textId="42DCA680" w:rsidR="004A7307" w:rsidRPr="004A7307" w:rsidRDefault="004A7307" w:rsidP="004A7307">
      <w:pPr>
        <w:jc w:val="center"/>
        <w:rPr>
          <w:rFonts w:ascii="Maiandra GD" w:eastAsia="Calibri" w:hAnsi="Maiandra GD" w:cs="Times New Roman"/>
          <w:sz w:val="24"/>
          <w:szCs w:val="24"/>
        </w:rPr>
      </w:pPr>
    </w:p>
    <w:sectPr w:rsidR="004A7307" w:rsidRPr="004A7307" w:rsidSect="009018DD">
      <w:headerReference w:type="default" r:id="rId12"/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5F575" w14:textId="77777777" w:rsidR="00477150" w:rsidRDefault="00477150" w:rsidP="000A11D2">
      <w:pPr>
        <w:spacing w:after="0" w:line="240" w:lineRule="auto"/>
      </w:pPr>
      <w:r>
        <w:separator/>
      </w:r>
    </w:p>
  </w:endnote>
  <w:endnote w:type="continuationSeparator" w:id="0">
    <w:p w14:paraId="2ACB9F8E" w14:textId="77777777" w:rsidR="00477150" w:rsidRDefault="00477150" w:rsidP="000A1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31644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B297" w14:textId="62B67717" w:rsidR="00BC7DF0" w:rsidRDefault="00BC7D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57E3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/ 2</w:t>
        </w:r>
      </w:p>
    </w:sdtContent>
  </w:sdt>
  <w:p w14:paraId="6050ED49" w14:textId="77777777" w:rsidR="00A13DDF" w:rsidRDefault="00A13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C424F" w14:textId="77777777" w:rsidR="00477150" w:rsidRDefault="00477150" w:rsidP="000A11D2">
      <w:pPr>
        <w:spacing w:after="0" w:line="240" w:lineRule="auto"/>
      </w:pPr>
      <w:r>
        <w:separator/>
      </w:r>
    </w:p>
  </w:footnote>
  <w:footnote w:type="continuationSeparator" w:id="0">
    <w:p w14:paraId="011A8B7E" w14:textId="77777777" w:rsidR="00477150" w:rsidRDefault="00477150" w:rsidP="000A1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4E538" w14:textId="40DB0F50" w:rsidR="000A11D2" w:rsidRPr="000A11D2" w:rsidRDefault="009F58DC" w:rsidP="000A11D2">
    <w:pPr>
      <w:pStyle w:val="Header"/>
      <w:jc w:val="center"/>
      <w:rPr>
        <w:rFonts w:ascii="Maiandra GD" w:hAnsi="Maiandra GD"/>
        <w:b/>
      </w:rPr>
    </w:pPr>
    <w:r>
      <w:rPr>
        <w:rFonts w:ascii="Maiandra GD" w:hAnsi="Maiandra GD"/>
        <w:b/>
      </w:rPr>
      <w:t xml:space="preserve">CLARIFICATION </w:t>
    </w:r>
    <w:r w:rsidR="000A11D2" w:rsidRPr="000A11D2">
      <w:rPr>
        <w:rFonts w:ascii="Maiandra GD" w:hAnsi="Maiandra GD"/>
        <w:b/>
      </w:rPr>
      <w:t>NUMBER</w:t>
    </w:r>
    <w:r w:rsidR="00526A55">
      <w:rPr>
        <w:rFonts w:ascii="Maiandra GD" w:hAnsi="Maiandra GD"/>
        <w:b/>
      </w:rPr>
      <w:t xml:space="preserve"> </w:t>
    </w:r>
    <w:r w:rsidR="009D01E7">
      <w:rPr>
        <w:rFonts w:ascii="Maiandra GD" w:hAnsi="Maiandra GD"/>
        <w:b/>
      </w:rPr>
      <w:t>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57ED1"/>
    <w:multiLevelType w:val="hybridMultilevel"/>
    <w:tmpl w:val="40EC2588"/>
    <w:lvl w:ilvl="0" w:tplc="D89C5B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3610A"/>
    <w:multiLevelType w:val="hybridMultilevel"/>
    <w:tmpl w:val="C93CA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E6B69"/>
    <w:multiLevelType w:val="hybridMultilevel"/>
    <w:tmpl w:val="ACD2993E"/>
    <w:lvl w:ilvl="0" w:tplc="D89C5B4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2F"/>
    <w:rsid w:val="00000528"/>
    <w:rsid w:val="000018E5"/>
    <w:rsid w:val="00013425"/>
    <w:rsid w:val="00013736"/>
    <w:rsid w:val="00017ADC"/>
    <w:rsid w:val="00017BB0"/>
    <w:rsid w:val="000216C5"/>
    <w:rsid w:val="00031CE2"/>
    <w:rsid w:val="000323DA"/>
    <w:rsid w:val="00034098"/>
    <w:rsid w:val="00035BF9"/>
    <w:rsid w:val="00040E7E"/>
    <w:rsid w:val="00053609"/>
    <w:rsid w:val="00062BE3"/>
    <w:rsid w:val="000730D2"/>
    <w:rsid w:val="00082076"/>
    <w:rsid w:val="000A11D2"/>
    <w:rsid w:val="000A5264"/>
    <w:rsid w:val="000B579B"/>
    <w:rsid w:val="000B660C"/>
    <w:rsid w:val="000C3302"/>
    <w:rsid w:val="000D40EE"/>
    <w:rsid w:val="000F1B82"/>
    <w:rsid w:val="000F3941"/>
    <w:rsid w:val="000F4B53"/>
    <w:rsid w:val="000F53D7"/>
    <w:rsid w:val="00101876"/>
    <w:rsid w:val="00105F18"/>
    <w:rsid w:val="00116F82"/>
    <w:rsid w:val="00141A73"/>
    <w:rsid w:val="00142BDC"/>
    <w:rsid w:val="00146141"/>
    <w:rsid w:val="00150ED8"/>
    <w:rsid w:val="00165258"/>
    <w:rsid w:val="001671D4"/>
    <w:rsid w:val="0018570B"/>
    <w:rsid w:val="001868CB"/>
    <w:rsid w:val="001904DE"/>
    <w:rsid w:val="001917D7"/>
    <w:rsid w:val="001972B1"/>
    <w:rsid w:val="001A2868"/>
    <w:rsid w:val="001A53D1"/>
    <w:rsid w:val="001B7749"/>
    <w:rsid w:val="001C7A03"/>
    <w:rsid w:val="001E122F"/>
    <w:rsid w:val="001E1DD9"/>
    <w:rsid w:val="001F033B"/>
    <w:rsid w:val="001F4B7A"/>
    <w:rsid w:val="001F6DE5"/>
    <w:rsid w:val="001F7123"/>
    <w:rsid w:val="00205741"/>
    <w:rsid w:val="00210965"/>
    <w:rsid w:val="00220585"/>
    <w:rsid w:val="00221AED"/>
    <w:rsid w:val="00222B7C"/>
    <w:rsid w:val="002230AD"/>
    <w:rsid w:val="00223B2F"/>
    <w:rsid w:val="0023755D"/>
    <w:rsid w:val="0027151B"/>
    <w:rsid w:val="00271BE8"/>
    <w:rsid w:val="00277276"/>
    <w:rsid w:val="002856B5"/>
    <w:rsid w:val="00291C3A"/>
    <w:rsid w:val="002938B5"/>
    <w:rsid w:val="002A1BAC"/>
    <w:rsid w:val="002A1FBA"/>
    <w:rsid w:val="002A710D"/>
    <w:rsid w:val="002B1060"/>
    <w:rsid w:val="002B4003"/>
    <w:rsid w:val="002C0278"/>
    <w:rsid w:val="002C6EF7"/>
    <w:rsid w:val="002D42DC"/>
    <w:rsid w:val="002E0634"/>
    <w:rsid w:val="002F5897"/>
    <w:rsid w:val="00301A49"/>
    <w:rsid w:val="00306D64"/>
    <w:rsid w:val="00307A41"/>
    <w:rsid w:val="003161D3"/>
    <w:rsid w:val="00316ADB"/>
    <w:rsid w:val="00323569"/>
    <w:rsid w:val="00325539"/>
    <w:rsid w:val="003257E3"/>
    <w:rsid w:val="003365F5"/>
    <w:rsid w:val="0034035F"/>
    <w:rsid w:val="0035170A"/>
    <w:rsid w:val="00362DCE"/>
    <w:rsid w:val="00367A25"/>
    <w:rsid w:val="00391AEC"/>
    <w:rsid w:val="003929AB"/>
    <w:rsid w:val="003A261A"/>
    <w:rsid w:val="003A4FE5"/>
    <w:rsid w:val="003A6B1B"/>
    <w:rsid w:val="003C634E"/>
    <w:rsid w:val="003D4A9A"/>
    <w:rsid w:val="003E660B"/>
    <w:rsid w:val="003E79C9"/>
    <w:rsid w:val="003F47CF"/>
    <w:rsid w:val="0040152E"/>
    <w:rsid w:val="00405443"/>
    <w:rsid w:val="00410D9D"/>
    <w:rsid w:val="00411903"/>
    <w:rsid w:val="0041558E"/>
    <w:rsid w:val="00415FD8"/>
    <w:rsid w:val="00417307"/>
    <w:rsid w:val="00420F32"/>
    <w:rsid w:val="00425C3F"/>
    <w:rsid w:val="004314CD"/>
    <w:rsid w:val="004378A3"/>
    <w:rsid w:val="004424F0"/>
    <w:rsid w:val="00443296"/>
    <w:rsid w:val="00444CB4"/>
    <w:rsid w:val="0045177B"/>
    <w:rsid w:val="00452968"/>
    <w:rsid w:val="00452CEB"/>
    <w:rsid w:val="0045781F"/>
    <w:rsid w:val="00475FDA"/>
    <w:rsid w:val="00477150"/>
    <w:rsid w:val="00494291"/>
    <w:rsid w:val="00494AF4"/>
    <w:rsid w:val="004968B5"/>
    <w:rsid w:val="004A2596"/>
    <w:rsid w:val="004A7307"/>
    <w:rsid w:val="004A7784"/>
    <w:rsid w:val="004B152B"/>
    <w:rsid w:val="004D2CEE"/>
    <w:rsid w:val="004E03B8"/>
    <w:rsid w:val="004E50CF"/>
    <w:rsid w:val="004E5308"/>
    <w:rsid w:val="004E5C42"/>
    <w:rsid w:val="004F256D"/>
    <w:rsid w:val="004F302B"/>
    <w:rsid w:val="00507410"/>
    <w:rsid w:val="005110C2"/>
    <w:rsid w:val="00513155"/>
    <w:rsid w:val="0052178D"/>
    <w:rsid w:val="00526A55"/>
    <w:rsid w:val="005302EC"/>
    <w:rsid w:val="0053310F"/>
    <w:rsid w:val="00536685"/>
    <w:rsid w:val="00542033"/>
    <w:rsid w:val="00546DFD"/>
    <w:rsid w:val="00551B4D"/>
    <w:rsid w:val="005612FB"/>
    <w:rsid w:val="00586276"/>
    <w:rsid w:val="0059456A"/>
    <w:rsid w:val="00597893"/>
    <w:rsid w:val="005A7410"/>
    <w:rsid w:val="005C4EB0"/>
    <w:rsid w:val="005C6591"/>
    <w:rsid w:val="005D0CF7"/>
    <w:rsid w:val="005F5761"/>
    <w:rsid w:val="005F7105"/>
    <w:rsid w:val="00607BB8"/>
    <w:rsid w:val="00615C04"/>
    <w:rsid w:val="00615EDB"/>
    <w:rsid w:val="00616652"/>
    <w:rsid w:val="0062328E"/>
    <w:rsid w:val="00624789"/>
    <w:rsid w:val="00625E0E"/>
    <w:rsid w:val="006328F5"/>
    <w:rsid w:val="00641BEC"/>
    <w:rsid w:val="00641D68"/>
    <w:rsid w:val="0064302F"/>
    <w:rsid w:val="00643A97"/>
    <w:rsid w:val="0064590F"/>
    <w:rsid w:val="00660F7D"/>
    <w:rsid w:val="0066223D"/>
    <w:rsid w:val="006728BB"/>
    <w:rsid w:val="006744FD"/>
    <w:rsid w:val="006755E1"/>
    <w:rsid w:val="006908A1"/>
    <w:rsid w:val="00695523"/>
    <w:rsid w:val="006B2A5E"/>
    <w:rsid w:val="006B57B2"/>
    <w:rsid w:val="006B5DFC"/>
    <w:rsid w:val="006B634C"/>
    <w:rsid w:val="006D1766"/>
    <w:rsid w:val="006D64B0"/>
    <w:rsid w:val="006E671A"/>
    <w:rsid w:val="006F1C23"/>
    <w:rsid w:val="006F2F77"/>
    <w:rsid w:val="006F66F4"/>
    <w:rsid w:val="006F76B6"/>
    <w:rsid w:val="00705C3C"/>
    <w:rsid w:val="00707FF9"/>
    <w:rsid w:val="00713769"/>
    <w:rsid w:val="00714916"/>
    <w:rsid w:val="007248D2"/>
    <w:rsid w:val="0073098A"/>
    <w:rsid w:val="00731C71"/>
    <w:rsid w:val="00735A30"/>
    <w:rsid w:val="00740B49"/>
    <w:rsid w:val="007607F4"/>
    <w:rsid w:val="00762A82"/>
    <w:rsid w:val="00763697"/>
    <w:rsid w:val="007651AA"/>
    <w:rsid w:val="0076649E"/>
    <w:rsid w:val="0077269B"/>
    <w:rsid w:val="00774270"/>
    <w:rsid w:val="00774311"/>
    <w:rsid w:val="00775513"/>
    <w:rsid w:val="00775D55"/>
    <w:rsid w:val="007827AE"/>
    <w:rsid w:val="00790966"/>
    <w:rsid w:val="0079362B"/>
    <w:rsid w:val="00794D72"/>
    <w:rsid w:val="007976B7"/>
    <w:rsid w:val="007A4E20"/>
    <w:rsid w:val="007C3ABB"/>
    <w:rsid w:val="007C651D"/>
    <w:rsid w:val="007D0C33"/>
    <w:rsid w:val="007E38FF"/>
    <w:rsid w:val="007E4B70"/>
    <w:rsid w:val="007F2CD7"/>
    <w:rsid w:val="007F43EE"/>
    <w:rsid w:val="008019E3"/>
    <w:rsid w:val="00810ABB"/>
    <w:rsid w:val="008111E7"/>
    <w:rsid w:val="00814D42"/>
    <w:rsid w:val="00853353"/>
    <w:rsid w:val="00855C99"/>
    <w:rsid w:val="00864230"/>
    <w:rsid w:val="008737B6"/>
    <w:rsid w:val="00874A84"/>
    <w:rsid w:val="00884367"/>
    <w:rsid w:val="008874A5"/>
    <w:rsid w:val="008876F1"/>
    <w:rsid w:val="008915F0"/>
    <w:rsid w:val="008A2F54"/>
    <w:rsid w:val="008A6F40"/>
    <w:rsid w:val="008B13BB"/>
    <w:rsid w:val="008B585E"/>
    <w:rsid w:val="008B66FE"/>
    <w:rsid w:val="008B7231"/>
    <w:rsid w:val="008B7E00"/>
    <w:rsid w:val="008B7F8A"/>
    <w:rsid w:val="008C0568"/>
    <w:rsid w:val="008C08AD"/>
    <w:rsid w:val="008C3A33"/>
    <w:rsid w:val="008C7978"/>
    <w:rsid w:val="008D0733"/>
    <w:rsid w:val="008D48B4"/>
    <w:rsid w:val="008D7E52"/>
    <w:rsid w:val="008E1F1F"/>
    <w:rsid w:val="0090133B"/>
    <w:rsid w:val="009018DD"/>
    <w:rsid w:val="00920875"/>
    <w:rsid w:val="00921805"/>
    <w:rsid w:val="00925DAC"/>
    <w:rsid w:val="00930AFC"/>
    <w:rsid w:val="00932B08"/>
    <w:rsid w:val="00941CEE"/>
    <w:rsid w:val="009424B1"/>
    <w:rsid w:val="00952246"/>
    <w:rsid w:val="009950E1"/>
    <w:rsid w:val="009A00B4"/>
    <w:rsid w:val="009A03E1"/>
    <w:rsid w:val="009A1310"/>
    <w:rsid w:val="009A1AC5"/>
    <w:rsid w:val="009A4B37"/>
    <w:rsid w:val="009B1D1B"/>
    <w:rsid w:val="009C0346"/>
    <w:rsid w:val="009D01E7"/>
    <w:rsid w:val="009D3727"/>
    <w:rsid w:val="009E1156"/>
    <w:rsid w:val="009E6082"/>
    <w:rsid w:val="009F5229"/>
    <w:rsid w:val="009F5404"/>
    <w:rsid w:val="009F58DC"/>
    <w:rsid w:val="009F6E30"/>
    <w:rsid w:val="00A02E04"/>
    <w:rsid w:val="00A130CF"/>
    <w:rsid w:val="00A13DDF"/>
    <w:rsid w:val="00A15230"/>
    <w:rsid w:val="00A23982"/>
    <w:rsid w:val="00A30737"/>
    <w:rsid w:val="00A3199A"/>
    <w:rsid w:val="00A33771"/>
    <w:rsid w:val="00A342E4"/>
    <w:rsid w:val="00A41C6D"/>
    <w:rsid w:val="00A423F7"/>
    <w:rsid w:val="00A536CA"/>
    <w:rsid w:val="00A57E65"/>
    <w:rsid w:val="00A652E3"/>
    <w:rsid w:val="00A66152"/>
    <w:rsid w:val="00A73A92"/>
    <w:rsid w:val="00A767BE"/>
    <w:rsid w:val="00A82251"/>
    <w:rsid w:val="00A82B19"/>
    <w:rsid w:val="00A924DD"/>
    <w:rsid w:val="00AA2669"/>
    <w:rsid w:val="00AA6ECA"/>
    <w:rsid w:val="00AB54E4"/>
    <w:rsid w:val="00AB7529"/>
    <w:rsid w:val="00AC0C38"/>
    <w:rsid w:val="00AC152A"/>
    <w:rsid w:val="00AC1F41"/>
    <w:rsid w:val="00AD0A5A"/>
    <w:rsid w:val="00AD7C6F"/>
    <w:rsid w:val="00AE540C"/>
    <w:rsid w:val="00AE5DAD"/>
    <w:rsid w:val="00AE65B6"/>
    <w:rsid w:val="00AF049C"/>
    <w:rsid w:val="00AF3CCE"/>
    <w:rsid w:val="00AF5BF3"/>
    <w:rsid w:val="00B1609F"/>
    <w:rsid w:val="00B41077"/>
    <w:rsid w:val="00B424D6"/>
    <w:rsid w:val="00B456E3"/>
    <w:rsid w:val="00B641B4"/>
    <w:rsid w:val="00B66C2E"/>
    <w:rsid w:val="00B82FB9"/>
    <w:rsid w:val="00B85C6B"/>
    <w:rsid w:val="00B94F65"/>
    <w:rsid w:val="00B97953"/>
    <w:rsid w:val="00B97B3A"/>
    <w:rsid w:val="00BA08A5"/>
    <w:rsid w:val="00BA1032"/>
    <w:rsid w:val="00BA20E0"/>
    <w:rsid w:val="00BA40EC"/>
    <w:rsid w:val="00BB3A9F"/>
    <w:rsid w:val="00BB41AF"/>
    <w:rsid w:val="00BB7E4A"/>
    <w:rsid w:val="00BC48A9"/>
    <w:rsid w:val="00BC7DF0"/>
    <w:rsid w:val="00BD3893"/>
    <w:rsid w:val="00BE1F42"/>
    <w:rsid w:val="00BE206C"/>
    <w:rsid w:val="00BE7A93"/>
    <w:rsid w:val="00BF0E96"/>
    <w:rsid w:val="00BF2B0A"/>
    <w:rsid w:val="00BF3452"/>
    <w:rsid w:val="00BF66F0"/>
    <w:rsid w:val="00C02939"/>
    <w:rsid w:val="00C05F82"/>
    <w:rsid w:val="00C069E4"/>
    <w:rsid w:val="00C1047C"/>
    <w:rsid w:val="00C11B63"/>
    <w:rsid w:val="00C16E17"/>
    <w:rsid w:val="00C23FA1"/>
    <w:rsid w:val="00C3370D"/>
    <w:rsid w:val="00C36BB6"/>
    <w:rsid w:val="00C4581C"/>
    <w:rsid w:val="00C66C2B"/>
    <w:rsid w:val="00C75217"/>
    <w:rsid w:val="00C75418"/>
    <w:rsid w:val="00C7560F"/>
    <w:rsid w:val="00C92A67"/>
    <w:rsid w:val="00CA1F15"/>
    <w:rsid w:val="00CA4457"/>
    <w:rsid w:val="00CB21C5"/>
    <w:rsid w:val="00CB27D6"/>
    <w:rsid w:val="00CE1422"/>
    <w:rsid w:val="00CF1981"/>
    <w:rsid w:val="00D04005"/>
    <w:rsid w:val="00D12224"/>
    <w:rsid w:val="00D20ADB"/>
    <w:rsid w:val="00D214D8"/>
    <w:rsid w:val="00D228B4"/>
    <w:rsid w:val="00D42A40"/>
    <w:rsid w:val="00D6561C"/>
    <w:rsid w:val="00D7084D"/>
    <w:rsid w:val="00D747FC"/>
    <w:rsid w:val="00D82233"/>
    <w:rsid w:val="00D82BE6"/>
    <w:rsid w:val="00D93596"/>
    <w:rsid w:val="00DA4E14"/>
    <w:rsid w:val="00DB17EF"/>
    <w:rsid w:val="00DB314A"/>
    <w:rsid w:val="00DC1C90"/>
    <w:rsid w:val="00DC3207"/>
    <w:rsid w:val="00DC432F"/>
    <w:rsid w:val="00DC5F15"/>
    <w:rsid w:val="00DD5336"/>
    <w:rsid w:val="00DD7AEC"/>
    <w:rsid w:val="00DE7890"/>
    <w:rsid w:val="00DF02C1"/>
    <w:rsid w:val="00DF6EE3"/>
    <w:rsid w:val="00E07F68"/>
    <w:rsid w:val="00E307F2"/>
    <w:rsid w:val="00E31DD2"/>
    <w:rsid w:val="00E417FE"/>
    <w:rsid w:val="00E44F99"/>
    <w:rsid w:val="00E46678"/>
    <w:rsid w:val="00E54F84"/>
    <w:rsid w:val="00E55B3D"/>
    <w:rsid w:val="00E76F6C"/>
    <w:rsid w:val="00E85113"/>
    <w:rsid w:val="00E90A5D"/>
    <w:rsid w:val="00EB709E"/>
    <w:rsid w:val="00ED44D9"/>
    <w:rsid w:val="00EE31FF"/>
    <w:rsid w:val="00F258E6"/>
    <w:rsid w:val="00F355DB"/>
    <w:rsid w:val="00F43D71"/>
    <w:rsid w:val="00F445EB"/>
    <w:rsid w:val="00F47D2D"/>
    <w:rsid w:val="00F513FC"/>
    <w:rsid w:val="00F52591"/>
    <w:rsid w:val="00F56FDF"/>
    <w:rsid w:val="00F760EF"/>
    <w:rsid w:val="00F76476"/>
    <w:rsid w:val="00F8044D"/>
    <w:rsid w:val="00F835DE"/>
    <w:rsid w:val="00F8582E"/>
    <w:rsid w:val="00F86FEB"/>
    <w:rsid w:val="00F92E4B"/>
    <w:rsid w:val="00F975E9"/>
    <w:rsid w:val="00FB1F82"/>
    <w:rsid w:val="00FB3020"/>
    <w:rsid w:val="00FD73DA"/>
    <w:rsid w:val="00FE089C"/>
    <w:rsid w:val="00FF272D"/>
    <w:rsid w:val="00FF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847DA"/>
  <w15:chartTrackingRefBased/>
  <w15:docId w15:val="{048960F0-C6F6-4EED-989F-E30E7FD64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A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3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2E4B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9018D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445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BE3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B752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B7529"/>
    <w:rPr>
      <w:rFonts w:ascii="Calibri" w:hAnsi="Calibri"/>
      <w:szCs w:val="21"/>
    </w:rPr>
  </w:style>
  <w:style w:type="paragraph" w:customStyle="1" w:styleId="Default">
    <w:name w:val="Default"/>
    <w:rsid w:val="00C11B6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F25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5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5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5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56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A1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1D2"/>
  </w:style>
  <w:style w:type="paragraph" w:styleId="Footer">
    <w:name w:val="footer"/>
    <w:basedOn w:val="Normal"/>
    <w:link w:val="FooterChar"/>
    <w:uiPriority w:val="99"/>
    <w:unhideWhenUsed/>
    <w:rsid w:val="000A1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1D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0346"/>
    <w:rPr>
      <w:color w:val="605E5C"/>
      <w:shd w:val="clear" w:color="auto" w:fill="E1DFDD"/>
    </w:rPr>
  </w:style>
  <w:style w:type="paragraph" w:styleId="BodyText">
    <w:name w:val="Body Text"/>
    <w:aliases w:val="(Main Text),date,Body Text (Main text),Body Text Char1, Char5 Char, Char5"/>
    <w:basedOn w:val="Normal"/>
    <w:link w:val="BodyTextChar"/>
    <w:rsid w:val="005F5761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aliases w:val="(Main Text) Char,date Char,Body Text (Main text) Char,Body Text Char1 Char, Char5 Char Char, Char5 Char1"/>
    <w:basedOn w:val="DefaultParagraphFont"/>
    <w:link w:val="BodyText"/>
    <w:rsid w:val="005F576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B1012D5C893448125662EDABEC673" ma:contentTypeVersion="4" ma:contentTypeDescription="Create a new document." ma:contentTypeScope="" ma:versionID="b300b7e934f726ac9c10def1be77dc46">
  <xsd:schema xmlns:xsd="http://www.w3.org/2001/XMLSchema" xmlns:xs="http://www.w3.org/2001/XMLSchema" xmlns:p="http://schemas.microsoft.com/office/2006/metadata/properties" xmlns:ns2="d8f0e371-22b7-4c3a-8bca-64d7c25d1cd5" targetNamespace="http://schemas.microsoft.com/office/2006/metadata/properties" ma:root="true" ma:fieldsID="0b35c6cfba2bde757cb95f2f1b3d3bb9" ns2:_="">
    <xsd:import namespace="d8f0e371-22b7-4c3a-8bca-64d7c25d1c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0e371-22b7-4c3a-8bca-64d7c25d1c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98BDA-986F-4BA9-9FDA-8CD9D6D4E0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3BA206-B310-4C00-A0C0-EA0A2294B9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7DFEF6-047F-454B-B9D7-7D0192812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0e371-22b7-4c3a-8bca-64d7c25d1c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C8DE7A-FE80-4F1F-AB30-33DE8B17F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Luka</dc:creator>
  <cp:keywords/>
  <dc:description/>
  <cp:lastModifiedBy>Lentletse R.  Senthufhe</cp:lastModifiedBy>
  <cp:revision>2</cp:revision>
  <cp:lastPrinted>2022-08-11T07:03:00Z</cp:lastPrinted>
  <dcterms:created xsi:type="dcterms:W3CDTF">2024-01-30T12:48:00Z</dcterms:created>
  <dcterms:modified xsi:type="dcterms:W3CDTF">2024-01-30T12:48:00Z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fc4922-3fd1-4789-82f2-615f80bb0c20_Enabled">
    <vt:lpwstr>true</vt:lpwstr>
  </property>
  <property fmtid="{D5CDD505-2E9C-101B-9397-08002B2CF9AE}" pid="3" name="MSIP_Label_8dfc4922-3fd1-4789-82f2-615f80bb0c20_SetDate">
    <vt:lpwstr>2022-07-22T08:56:58Z</vt:lpwstr>
  </property>
  <property fmtid="{D5CDD505-2E9C-101B-9397-08002B2CF9AE}" pid="4" name="MSIP_Label_8dfc4922-3fd1-4789-82f2-615f80bb0c20_Method">
    <vt:lpwstr>Privileged</vt:lpwstr>
  </property>
  <property fmtid="{D5CDD505-2E9C-101B-9397-08002B2CF9AE}" pid="5" name="MSIP_Label_8dfc4922-3fd1-4789-82f2-615f80bb0c20_Name">
    <vt:lpwstr>Public</vt:lpwstr>
  </property>
  <property fmtid="{D5CDD505-2E9C-101B-9397-08002B2CF9AE}" pid="6" name="MSIP_Label_8dfc4922-3fd1-4789-82f2-615f80bb0c20_SiteId">
    <vt:lpwstr>ca18acb0-3312-44f2-869d-5b01ed8bb47d</vt:lpwstr>
  </property>
  <property fmtid="{D5CDD505-2E9C-101B-9397-08002B2CF9AE}" pid="7" name="MSIP_Label_8dfc4922-3fd1-4789-82f2-615f80bb0c20_ActionId">
    <vt:lpwstr>98714957-5256-4346-9fc0-803b37add62c</vt:lpwstr>
  </property>
  <property fmtid="{D5CDD505-2E9C-101B-9397-08002B2CF9AE}" pid="8" name="MSIP_Label_8dfc4922-3fd1-4789-82f2-615f80bb0c20_ContentBits">
    <vt:lpwstr>0</vt:lpwstr>
  </property>
  <property fmtid="{D5CDD505-2E9C-101B-9397-08002B2CF9AE}" pid="9" name="ContentTypeId">
    <vt:lpwstr>0x0101005E1B1012D5C893448125662EDABEC673</vt:lpwstr>
  </property>
  <property fmtid="{D5CDD505-2E9C-101B-9397-08002B2CF9AE}" pid="10" name="MSIP_Label_70d91555-27bb-46d2-9299-bbdc28766cf5_Enabled">
    <vt:lpwstr>true</vt:lpwstr>
  </property>
  <property fmtid="{D5CDD505-2E9C-101B-9397-08002B2CF9AE}" pid="11" name="MSIP_Label_70d91555-27bb-46d2-9299-bbdc28766cf5_SetDate">
    <vt:lpwstr>2024-01-26T08:08:39Z</vt:lpwstr>
  </property>
  <property fmtid="{D5CDD505-2E9C-101B-9397-08002B2CF9AE}" pid="12" name="MSIP_Label_70d91555-27bb-46d2-9299-bbdc28766cf5_Method">
    <vt:lpwstr>Privileged</vt:lpwstr>
  </property>
  <property fmtid="{D5CDD505-2E9C-101B-9397-08002B2CF9AE}" pid="13" name="MSIP_Label_70d91555-27bb-46d2-9299-bbdc28766cf5_Name">
    <vt:lpwstr>Open - General</vt:lpwstr>
  </property>
  <property fmtid="{D5CDD505-2E9C-101B-9397-08002B2CF9AE}" pid="14" name="MSIP_Label_70d91555-27bb-46d2-9299-bbdc28766cf5_SiteId">
    <vt:lpwstr>49d00196-dd46-45ae-a2e6-912969fa3ac8</vt:lpwstr>
  </property>
  <property fmtid="{D5CDD505-2E9C-101B-9397-08002B2CF9AE}" pid="15" name="MSIP_Label_70d91555-27bb-46d2-9299-bbdc28766cf5_ActionId">
    <vt:lpwstr>2bb49587-d7a5-4349-b7ff-ba39b7ef1946</vt:lpwstr>
  </property>
  <property fmtid="{D5CDD505-2E9C-101B-9397-08002B2CF9AE}" pid="16" name="MSIP_Label_70d91555-27bb-46d2-9299-bbdc28766cf5_ContentBits">
    <vt:lpwstr>0</vt:lpwstr>
  </property>
</Properties>
</file>