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1836" w14:textId="77777777" w:rsidR="00C45969" w:rsidRPr="00EA02A7" w:rsidRDefault="00956A30">
      <w:pPr>
        <w:rPr>
          <w:b/>
        </w:rPr>
      </w:pPr>
      <w:bookmarkStart w:id="0" w:name="_GoBack"/>
      <w:bookmarkEnd w:id="0"/>
      <w:r w:rsidRPr="00EA02A7">
        <w:rPr>
          <w:b/>
        </w:rPr>
        <w:t xml:space="preserve">ADDENDUM NUMBER ONE </w:t>
      </w:r>
      <w:r w:rsidRPr="00EA02A7">
        <w:rPr>
          <w:b/>
          <w:sz w:val="22"/>
        </w:rPr>
        <w:t xml:space="preserve"> </w:t>
      </w:r>
    </w:p>
    <w:p w14:paraId="6E77A050" w14:textId="77777777" w:rsidR="00C45969" w:rsidRDefault="00956A30">
      <w:pPr>
        <w:ind w:left="4542" w:right="3150" w:hanging="606"/>
        <w:jc w:val="left"/>
      </w:pPr>
      <w:r>
        <w:rPr>
          <w:noProof/>
          <w:lang w:val="en-US" w:eastAsia="en-US"/>
        </w:rPr>
        <w:drawing>
          <wp:inline distT="0" distB="0" distL="0" distR="0" wp14:anchorId="3560D82A" wp14:editId="5F518FFC">
            <wp:extent cx="1196340" cy="1123188"/>
            <wp:effectExtent l="0" t="0" r="0" b="0"/>
            <wp:docPr id="120" name="Pictur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b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9072" w:type="dxa"/>
        <w:tblInd w:w="0" w:type="dxa"/>
        <w:tblLook w:val="04A0" w:firstRow="1" w:lastRow="0" w:firstColumn="1" w:lastColumn="0" w:noHBand="0" w:noVBand="1"/>
      </w:tblPr>
      <w:tblGrid>
        <w:gridCol w:w="1240"/>
        <w:gridCol w:w="7832"/>
      </w:tblGrid>
      <w:tr w:rsidR="00C45969" w14:paraId="2DAFF712" w14:textId="77777777" w:rsidTr="006068CA">
        <w:trPr>
          <w:trHeight w:val="50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7E4E0EF3" w14:textId="77777777" w:rsidR="00C45969" w:rsidRDefault="00EA02A7" w:rsidP="00EA02A7">
            <w:pPr>
              <w:tabs>
                <w:tab w:val="left" w:pos="1240"/>
              </w:tabs>
              <w:spacing w:after="160"/>
              <w:ind w:left="0" w:right="0" w:firstLine="0"/>
              <w:jc w:val="left"/>
            </w:pPr>
            <w:r>
              <w:tab/>
            </w:r>
          </w:p>
        </w:tc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14:paraId="0FF7BA3A" w14:textId="55B112E7" w:rsidR="00C45969" w:rsidRPr="00AF17D8" w:rsidRDefault="001F2B8F" w:rsidP="006068CA">
            <w:pPr>
              <w:pStyle w:val="Default"/>
              <w:ind w:left="31"/>
              <w:rPr>
                <w:rFonts w:ascii="Maiandra GD" w:hAnsi="Maiandra GD" w:cs="Times New Roman"/>
                <w:b/>
                <w:bCs/>
              </w:rPr>
            </w:pPr>
            <w:r w:rsidRPr="00AF17D8">
              <w:rPr>
                <w:rFonts w:ascii="Maiandra GD" w:hAnsi="Maiandra GD"/>
                <w:b/>
                <w:bCs/>
                <w:sz w:val="23"/>
                <w:szCs w:val="23"/>
              </w:rPr>
              <w:t>CONSULTANCY TO DEVELOP A SYLLABUS AND COURSE MODULES FOR TRAINING INVESTIGATIONS OFFICERS IN ANTI-CORRUPTION AGENCIES IN THE SADC REGION</w:t>
            </w:r>
          </w:p>
        </w:tc>
      </w:tr>
      <w:tr w:rsidR="00C45969" w14:paraId="1F736E5E" w14:textId="77777777" w:rsidTr="006068CA">
        <w:trPr>
          <w:trHeight w:val="2431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2A649A0" w14:textId="77777777" w:rsidR="00C45969" w:rsidRDefault="00956A30" w:rsidP="006E314A">
            <w:pPr>
              <w:spacing w:after="1943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14:paraId="50636208" w14:textId="77777777" w:rsidR="00C45969" w:rsidRPr="00AF17D8" w:rsidRDefault="00956A30">
            <w:pPr>
              <w:ind w:left="3209" w:right="0" w:firstLine="0"/>
              <w:jc w:val="left"/>
              <w:rPr>
                <w:b/>
                <w:bCs/>
                <w:szCs w:val="24"/>
              </w:rPr>
            </w:pPr>
            <w:r w:rsidRPr="00AF17D8">
              <w:rPr>
                <w:b/>
                <w:bCs/>
                <w:szCs w:val="24"/>
              </w:rPr>
              <w:t xml:space="preserve">   </w:t>
            </w:r>
          </w:p>
          <w:p w14:paraId="0FB49DC2" w14:textId="30B53E21" w:rsidR="00C45969" w:rsidRPr="00AF17D8" w:rsidRDefault="00956A30" w:rsidP="00900A96">
            <w:pPr>
              <w:pStyle w:val="Default"/>
              <w:rPr>
                <w:rFonts w:ascii="Maiandra GD" w:hAnsi="Maiandra GD" w:cs="Maiandra GD"/>
                <w:b/>
                <w:bCs/>
              </w:rPr>
            </w:pPr>
            <w:r w:rsidRPr="00AF17D8">
              <w:rPr>
                <w:rFonts w:ascii="Maiandra GD" w:hAnsi="Maiandra GD"/>
                <w:b/>
                <w:bCs/>
              </w:rPr>
              <w:t xml:space="preserve">                  Reference Number: </w:t>
            </w:r>
            <w:r w:rsidR="00900A96" w:rsidRPr="00AF17D8">
              <w:rPr>
                <w:rFonts w:ascii="Maiandra GD" w:hAnsi="Maiandra GD" w:cs="Maiandra GD"/>
                <w:b/>
                <w:bCs/>
              </w:rPr>
              <w:t xml:space="preserve"> SADC/3/5/2/29</w:t>
            </w:r>
            <w:r w:rsidR="00041DB6" w:rsidRPr="00AF17D8">
              <w:rPr>
                <w:rFonts w:ascii="Maiandra GD" w:hAnsi="Maiandra GD" w:cs="Maiandra GD"/>
                <w:b/>
                <w:bCs/>
              </w:rPr>
              <w:t>1</w:t>
            </w:r>
          </w:p>
          <w:p w14:paraId="1F14CE94" w14:textId="77777777" w:rsidR="00C45969" w:rsidRPr="00AF17D8" w:rsidRDefault="00956A30">
            <w:pPr>
              <w:ind w:left="3208" w:right="0" w:firstLine="0"/>
              <w:rPr>
                <w:b/>
                <w:bCs/>
                <w:szCs w:val="24"/>
              </w:rPr>
            </w:pPr>
            <w:r w:rsidRPr="00AF17D8">
              <w:rPr>
                <w:b/>
                <w:bCs/>
                <w:szCs w:val="24"/>
              </w:rPr>
              <w:t xml:space="preserve"> </w:t>
            </w:r>
          </w:p>
          <w:p w14:paraId="7C45D8F5" w14:textId="77777777" w:rsidR="00C45969" w:rsidRPr="00AF17D8" w:rsidRDefault="00956A30" w:rsidP="00956A30">
            <w:pPr>
              <w:ind w:right="0"/>
              <w:jc w:val="left"/>
              <w:rPr>
                <w:b/>
                <w:bCs/>
                <w:szCs w:val="24"/>
              </w:rPr>
            </w:pPr>
            <w:r w:rsidRPr="00AF17D8">
              <w:rPr>
                <w:b/>
                <w:bCs/>
                <w:szCs w:val="24"/>
              </w:rPr>
              <w:t xml:space="preserve">                 PROCURING ENTITY: THE SADC SECRETARIAT </w:t>
            </w:r>
          </w:p>
          <w:p w14:paraId="1EA11D00" w14:textId="77777777" w:rsidR="00C45969" w:rsidRPr="00AF17D8" w:rsidRDefault="00956A30">
            <w:pPr>
              <w:spacing w:after="229"/>
              <w:ind w:left="3208" w:right="0" w:firstLine="0"/>
              <w:rPr>
                <w:b/>
                <w:bCs/>
                <w:szCs w:val="24"/>
              </w:rPr>
            </w:pPr>
            <w:r w:rsidRPr="00AF17D8">
              <w:rPr>
                <w:b/>
                <w:bCs/>
                <w:szCs w:val="24"/>
              </w:rPr>
              <w:t xml:space="preserve"> </w:t>
            </w:r>
          </w:p>
          <w:p w14:paraId="25E2555B" w14:textId="3C94C115" w:rsidR="00C45969" w:rsidRPr="00AF17D8" w:rsidRDefault="002C0693">
            <w:pPr>
              <w:spacing w:after="207"/>
              <w:ind w:left="68" w:right="0" w:firstLine="0"/>
              <w:rPr>
                <w:b/>
                <w:bCs/>
                <w:szCs w:val="24"/>
              </w:rPr>
            </w:pPr>
            <w:r w:rsidRPr="00AF17D8">
              <w:rPr>
                <w:b/>
                <w:bCs/>
                <w:szCs w:val="24"/>
              </w:rPr>
              <w:t xml:space="preserve">Issue Date: </w:t>
            </w:r>
            <w:r w:rsidR="00041DB6" w:rsidRPr="00AF17D8">
              <w:rPr>
                <w:b/>
                <w:bCs/>
                <w:szCs w:val="24"/>
              </w:rPr>
              <w:t>2</w:t>
            </w:r>
            <w:r w:rsidR="00D05FE9" w:rsidRPr="00AF17D8">
              <w:rPr>
                <w:b/>
                <w:bCs/>
                <w:szCs w:val="24"/>
              </w:rPr>
              <w:t>1</w:t>
            </w:r>
            <w:r w:rsidR="00D05FE9" w:rsidRPr="00AF17D8">
              <w:rPr>
                <w:b/>
                <w:bCs/>
                <w:szCs w:val="24"/>
                <w:vertAlign w:val="superscript"/>
              </w:rPr>
              <w:t>st</w:t>
            </w:r>
            <w:r w:rsidRPr="00AF17D8">
              <w:rPr>
                <w:b/>
                <w:bCs/>
                <w:szCs w:val="24"/>
              </w:rPr>
              <w:t xml:space="preserve"> </w:t>
            </w:r>
            <w:r w:rsidR="00E53A1B" w:rsidRPr="00AF17D8">
              <w:rPr>
                <w:b/>
                <w:bCs/>
                <w:szCs w:val="24"/>
              </w:rPr>
              <w:t>June</w:t>
            </w:r>
            <w:r w:rsidR="00956A30" w:rsidRPr="00AF17D8">
              <w:rPr>
                <w:b/>
                <w:bCs/>
                <w:szCs w:val="24"/>
              </w:rPr>
              <w:t xml:space="preserve"> 202</w:t>
            </w:r>
            <w:r w:rsidR="00041DB6" w:rsidRPr="00AF17D8">
              <w:rPr>
                <w:b/>
                <w:bCs/>
                <w:szCs w:val="24"/>
              </w:rPr>
              <w:t>3</w:t>
            </w:r>
            <w:r w:rsidR="00956A30" w:rsidRPr="00AF17D8">
              <w:rPr>
                <w:b/>
                <w:bCs/>
                <w:color w:val="333333"/>
                <w:szCs w:val="24"/>
              </w:rPr>
              <w:t xml:space="preserve"> </w:t>
            </w:r>
          </w:p>
          <w:p w14:paraId="76F13B0E" w14:textId="77777777" w:rsidR="00C45969" w:rsidRPr="00AF17D8" w:rsidRDefault="00956A30">
            <w:pPr>
              <w:ind w:left="1731" w:right="0" w:firstLine="0"/>
              <w:jc w:val="left"/>
              <w:rPr>
                <w:b/>
                <w:bCs/>
                <w:szCs w:val="24"/>
              </w:rPr>
            </w:pPr>
            <w:r w:rsidRPr="00AF17D8">
              <w:rPr>
                <w:b/>
                <w:bCs/>
                <w:szCs w:val="24"/>
              </w:rPr>
              <w:t xml:space="preserve"> </w:t>
            </w:r>
          </w:p>
        </w:tc>
      </w:tr>
      <w:tr w:rsidR="00C45969" w14:paraId="6C1DE367" w14:textId="77777777" w:rsidTr="006068CA">
        <w:trPr>
          <w:trHeight w:val="1443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2A5DBD61" w14:textId="77777777" w:rsidR="00C45969" w:rsidRDefault="00956A30">
            <w:pPr>
              <w:spacing w:after="1044"/>
              <w:ind w:left="0" w:right="0" w:firstLine="0"/>
              <w:jc w:val="left"/>
            </w:pPr>
            <w:r>
              <w:t xml:space="preserve">Purpose: </w:t>
            </w:r>
            <w:r>
              <w:rPr>
                <w:sz w:val="22"/>
              </w:rPr>
              <w:t xml:space="preserve"> </w:t>
            </w:r>
          </w:p>
          <w:p w14:paraId="6936F2AD" w14:textId="77777777" w:rsidR="00C45969" w:rsidRDefault="00956A30">
            <w:pPr>
              <w:ind w:left="0" w:right="0" w:firstLine="0"/>
              <w:jc w:val="left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14:paraId="7C08B8C7" w14:textId="3216B322" w:rsidR="00C45969" w:rsidRPr="00956A30" w:rsidRDefault="00956A30">
            <w:pPr>
              <w:spacing w:line="238" w:lineRule="auto"/>
              <w:ind w:left="137" w:right="144" w:firstLine="0"/>
              <w:jc w:val="both"/>
              <w:rPr>
                <w:szCs w:val="24"/>
              </w:rPr>
            </w:pPr>
            <w:r w:rsidRPr="00956A30">
              <w:rPr>
                <w:szCs w:val="24"/>
              </w:rPr>
              <w:t xml:space="preserve">The purpose of </w:t>
            </w:r>
            <w:r w:rsidR="00EA02A7">
              <w:rPr>
                <w:szCs w:val="24"/>
              </w:rPr>
              <w:t>this addendum is to communicate</w:t>
            </w:r>
            <w:r w:rsidR="00795C32">
              <w:rPr>
                <w:szCs w:val="24"/>
              </w:rPr>
              <w:t xml:space="preserve"> </w:t>
            </w:r>
            <w:r w:rsidR="00E53A1B">
              <w:rPr>
                <w:szCs w:val="24"/>
              </w:rPr>
              <w:t xml:space="preserve">a </w:t>
            </w:r>
            <w:r w:rsidR="002C0693">
              <w:rPr>
                <w:b/>
                <w:szCs w:val="24"/>
                <w:u w:val="single"/>
              </w:rPr>
              <w:t xml:space="preserve">change </w:t>
            </w:r>
            <w:r w:rsidR="00EE5010">
              <w:rPr>
                <w:b/>
                <w:szCs w:val="24"/>
                <w:u w:val="single"/>
              </w:rPr>
              <w:t xml:space="preserve">in the </w:t>
            </w:r>
            <w:r w:rsidR="002507CA">
              <w:rPr>
                <w:b/>
                <w:szCs w:val="24"/>
                <w:u w:val="single"/>
              </w:rPr>
              <w:t>bi</w:t>
            </w:r>
            <w:r w:rsidR="00C46703">
              <w:rPr>
                <w:b/>
                <w:szCs w:val="24"/>
                <w:u w:val="single"/>
              </w:rPr>
              <w:t xml:space="preserve">dding </w:t>
            </w:r>
            <w:proofErr w:type="gramStart"/>
            <w:r w:rsidR="00C46703">
              <w:rPr>
                <w:b/>
                <w:szCs w:val="24"/>
                <w:u w:val="single"/>
              </w:rPr>
              <w:t>document ,</w:t>
            </w:r>
            <w:proofErr w:type="gramEnd"/>
            <w:r w:rsidR="00C46703">
              <w:rPr>
                <w:b/>
                <w:szCs w:val="24"/>
                <w:u w:val="single"/>
              </w:rPr>
              <w:t xml:space="preserve"> terms of reference section 7.2</w:t>
            </w:r>
            <w:r w:rsidR="006068CA">
              <w:rPr>
                <w:b/>
                <w:szCs w:val="24"/>
                <w:u w:val="single"/>
              </w:rPr>
              <w:t xml:space="preserve"> and annex 2 – payment schedule and requirements</w:t>
            </w:r>
            <w:r w:rsidR="00E701AC">
              <w:rPr>
                <w:szCs w:val="24"/>
              </w:rPr>
              <w:t>.</w:t>
            </w:r>
            <w:r w:rsidR="00795C32">
              <w:rPr>
                <w:szCs w:val="24"/>
              </w:rPr>
              <w:t xml:space="preserve"> </w:t>
            </w:r>
            <w:r w:rsidR="00EE5010">
              <w:rPr>
                <w:szCs w:val="24"/>
              </w:rPr>
              <w:t>Individual consultants</w:t>
            </w:r>
            <w:r w:rsidRPr="00956A30">
              <w:rPr>
                <w:szCs w:val="24"/>
              </w:rPr>
              <w:t xml:space="preserve"> shall review the Addendum requirements in detail and incorporate any effects the Addendum may have in their submissions.   </w:t>
            </w:r>
          </w:p>
          <w:p w14:paraId="75A593A4" w14:textId="77777777" w:rsidR="00C45969" w:rsidRPr="00956A30" w:rsidRDefault="00956A30">
            <w:pPr>
              <w:ind w:left="137" w:right="0" w:firstLine="0"/>
              <w:jc w:val="left"/>
              <w:rPr>
                <w:szCs w:val="24"/>
              </w:rPr>
            </w:pPr>
            <w:r w:rsidRPr="00956A30">
              <w:rPr>
                <w:szCs w:val="24"/>
              </w:rPr>
              <w:t xml:space="preserve"> </w:t>
            </w:r>
          </w:p>
        </w:tc>
      </w:tr>
      <w:tr w:rsidR="00C45969" w14:paraId="42345E1A" w14:textId="77777777" w:rsidTr="006068CA">
        <w:trPr>
          <w:trHeight w:val="257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1A9C4C0" w14:textId="77777777" w:rsidR="00C45969" w:rsidRDefault="00956A30">
            <w:pPr>
              <w:spacing w:after="1278"/>
              <w:ind w:left="0" w:right="0" w:firstLine="0"/>
              <w:jc w:val="left"/>
            </w:pPr>
            <w:r>
              <w:t xml:space="preserve">Note: </w:t>
            </w:r>
            <w:r>
              <w:rPr>
                <w:sz w:val="22"/>
              </w:rPr>
              <w:t xml:space="preserve"> </w:t>
            </w:r>
          </w:p>
          <w:p w14:paraId="78EDEDF6" w14:textId="77777777" w:rsidR="00C45969" w:rsidRDefault="00956A30">
            <w:pPr>
              <w:ind w:left="350" w:right="0" w:firstLine="0"/>
            </w:pP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</w:tcPr>
          <w:p w14:paraId="5ACEEC01" w14:textId="23FE5C38" w:rsidR="002C0693" w:rsidRDefault="00956A30">
            <w:pPr>
              <w:ind w:left="137" w:right="0" w:firstLine="0"/>
              <w:jc w:val="left"/>
            </w:pPr>
            <w:r>
              <w:t>Please take note of the following changes</w:t>
            </w:r>
            <w:r w:rsidR="00D05FE9">
              <w:t xml:space="preserve"> on section 7.2 of the terms of reference, on page 14 of 35</w:t>
            </w:r>
            <w:r w:rsidR="006068CA">
              <w:t xml:space="preserve"> and annex 2 – payment schedule on page 35 of 35</w:t>
            </w:r>
            <w:r>
              <w:t>:</w:t>
            </w:r>
          </w:p>
          <w:p w14:paraId="4F40C318" w14:textId="77777777" w:rsidR="002C0693" w:rsidRDefault="002C0693">
            <w:pPr>
              <w:ind w:left="137" w:right="0" w:firstLine="0"/>
              <w:jc w:val="left"/>
            </w:pPr>
          </w:p>
          <w:p w14:paraId="15AA9F76" w14:textId="77777777" w:rsidR="006068CA" w:rsidRPr="006068CA" w:rsidRDefault="00E62C98" w:rsidP="006068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Theme="minorHAnsi" w:hAnsi="Calibri" w:cs="Calibri"/>
                <w:color w:val="auto"/>
                <w:sz w:val="22"/>
                <w:lang w:val="en-GB" w:eastAsia="en-US"/>
              </w:rPr>
            </w:pPr>
            <w:r>
              <w:rPr>
                <w:sz w:val="23"/>
                <w:szCs w:val="23"/>
              </w:rPr>
              <w:t xml:space="preserve">The bid proposal should include a detailed budget. The total budget estimate for the duration of the assignment is </w:t>
            </w:r>
            <w:r w:rsidRPr="000C2F24">
              <w:rPr>
                <w:b/>
                <w:bCs/>
                <w:sz w:val="23"/>
                <w:szCs w:val="23"/>
                <w:u w:val="single"/>
              </w:rPr>
              <w:t>US$</w:t>
            </w:r>
            <w:r w:rsidR="000C2F24" w:rsidRPr="000C2F24">
              <w:rPr>
                <w:b/>
                <w:bCs/>
                <w:sz w:val="23"/>
                <w:szCs w:val="23"/>
                <w:u w:val="single"/>
              </w:rPr>
              <w:t>18</w:t>
            </w:r>
            <w:r w:rsidRPr="000C2F24">
              <w:rPr>
                <w:b/>
                <w:bCs/>
                <w:sz w:val="23"/>
                <w:szCs w:val="23"/>
                <w:u w:val="single"/>
              </w:rPr>
              <w:t>,000.00</w:t>
            </w:r>
            <w:r w:rsidR="000C2F24">
              <w:rPr>
                <w:b/>
                <w:bCs/>
                <w:sz w:val="23"/>
                <w:szCs w:val="23"/>
              </w:rPr>
              <w:t>.</w:t>
            </w:r>
          </w:p>
          <w:p w14:paraId="16E92607" w14:textId="77777777" w:rsidR="006068CA" w:rsidRPr="006068CA" w:rsidRDefault="006068CA" w:rsidP="006068CA">
            <w:pPr>
              <w:pStyle w:val="ListParagraph"/>
              <w:ind w:left="857" w:firstLine="0"/>
              <w:jc w:val="both"/>
              <w:rPr>
                <w:rFonts w:ascii="Calibri" w:eastAsiaTheme="minorHAnsi" w:hAnsi="Calibri" w:cs="Calibri"/>
                <w:color w:val="auto"/>
                <w:sz w:val="22"/>
                <w:lang w:val="en-GB" w:eastAsia="en-US"/>
              </w:rPr>
            </w:pPr>
          </w:p>
          <w:p w14:paraId="3D4C1387" w14:textId="3893D131" w:rsidR="006068CA" w:rsidRPr="006068CA" w:rsidRDefault="006068CA" w:rsidP="006068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Theme="minorHAnsi" w:hAnsi="Calibri" w:cs="Calibri"/>
                <w:color w:val="auto"/>
                <w:sz w:val="22"/>
                <w:lang w:val="en-GB" w:eastAsia="en-US"/>
              </w:rPr>
            </w:pPr>
            <w:r w:rsidRPr="006068CA">
              <w:rPr>
                <w:sz w:val="23"/>
                <w:szCs w:val="23"/>
              </w:rPr>
              <w:t xml:space="preserve">For Services rendered pursuant to Annex 1, the Procuring Entity shall pay the Individual Consultant an amount not to exceed the ceiling of US Dollars </w:t>
            </w:r>
            <w:r w:rsidRPr="006068CA">
              <w:rPr>
                <w:b/>
                <w:bCs/>
                <w:i/>
                <w:iCs/>
                <w:sz w:val="23"/>
                <w:szCs w:val="23"/>
              </w:rPr>
              <w:t>USD</w:t>
            </w:r>
            <w:r>
              <w:rPr>
                <w:b/>
                <w:bCs/>
                <w:i/>
                <w:iCs/>
                <w:sz w:val="23"/>
                <w:szCs w:val="23"/>
              </w:rPr>
              <w:t>18</w:t>
            </w:r>
            <w:r w:rsidRPr="006068CA">
              <w:rPr>
                <w:b/>
                <w:bCs/>
                <w:i/>
                <w:iCs/>
                <w:sz w:val="23"/>
                <w:szCs w:val="23"/>
              </w:rPr>
              <w:t xml:space="preserve">,000.00, </w:t>
            </w:r>
            <w:r w:rsidRPr="006068CA">
              <w:rPr>
                <w:sz w:val="23"/>
                <w:szCs w:val="23"/>
              </w:rPr>
              <w:t>which shall be considered the contract value</w:t>
            </w:r>
            <w:r>
              <w:rPr>
                <w:sz w:val="23"/>
                <w:szCs w:val="23"/>
              </w:rPr>
              <w:t>.</w:t>
            </w:r>
          </w:p>
          <w:p w14:paraId="6CB87D46" w14:textId="77777777" w:rsidR="007C7833" w:rsidRPr="007C7833" w:rsidRDefault="007C7833" w:rsidP="007C7833">
            <w:pPr>
              <w:pStyle w:val="ListParagraph"/>
              <w:ind w:left="857" w:firstLine="0"/>
              <w:jc w:val="both"/>
              <w:rPr>
                <w:rFonts w:ascii="Calibri" w:eastAsiaTheme="minorHAnsi" w:hAnsi="Calibri" w:cs="Calibri"/>
                <w:color w:val="auto"/>
                <w:sz w:val="22"/>
                <w:lang w:val="en-GB" w:eastAsia="en-US"/>
              </w:rPr>
            </w:pPr>
          </w:p>
          <w:p w14:paraId="02895CAB" w14:textId="20497261" w:rsidR="00C45969" w:rsidRPr="00F24030" w:rsidRDefault="00EA02A7" w:rsidP="00F2403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Theme="minorHAnsi" w:hAnsi="Calibri" w:cs="Calibri"/>
                <w:color w:val="auto"/>
                <w:sz w:val="22"/>
                <w:lang w:val="en-GB" w:eastAsia="en-US"/>
              </w:rPr>
            </w:pPr>
            <w:r>
              <w:t>All other terms and conditions remain unchanged</w:t>
            </w:r>
            <w:r w:rsidR="00E701AC">
              <w:t>.</w:t>
            </w:r>
          </w:p>
          <w:p w14:paraId="33C25B46" w14:textId="5E8F8F11" w:rsidR="00C45969" w:rsidRPr="002C0693" w:rsidRDefault="00C45969" w:rsidP="006068CA">
            <w:pPr>
              <w:spacing w:after="26"/>
              <w:ind w:left="0" w:right="0" w:firstLine="0"/>
              <w:jc w:val="left"/>
            </w:pPr>
          </w:p>
        </w:tc>
      </w:tr>
      <w:tr w:rsidR="00C45969" w14:paraId="3079FCD9" w14:textId="77777777" w:rsidTr="006068CA">
        <w:trPr>
          <w:trHeight w:val="66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AE4D5" w14:textId="77777777" w:rsidR="00C45969" w:rsidRDefault="00956A30">
            <w:pPr>
              <w:ind w:left="0" w:right="0" w:firstLine="0"/>
              <w:jc w:val="left"/>
            </w:pPr>
            <w: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9B3F8" w14:textId="77777777" w:rsidR="00C45969" w:rsidRDefault="00C45969" w:rsidP="00E701AC">
            <w:pPr>
              <w:ind w:left="0" w:right="0" w:firstLine="0"/>
              <w:jc w:val="both"/>
            </w:pPr>
          </w:p>
        </w:tc>
      </w:tr>
    </w:tbl>
    <w:p w14:paraId="5754D215" w14:textId="1D5A08B6" w:rsidR="00C45969" w:rsidRDefault="00956A30" w:rsidP="006068CA">
      <w:pPr>
        <w:ind w:left="0" w:right="0" w:firstLine="0"/>
      </w:pPr>
      <w:r>
        <w:t>End of Addendum</w:t>
      </w:r>
    </w:p>
    <w:p w14:paraId="6C0C4425" w14:textId="77777777" w:rsidR="00C45969" w:rsidRDefault="00956A30">
      <w:pPr>
        <w:ind w:right="5"/>
      </w:pPr>
      <w:r>
        <w:t xml:space="preserve">Southern African Development Community </w:t>
      </w:r>
      <w:r>
        <w:rPr>
          <w:sz w:val="22"/>
        </w:rPr>
        <w:t xml:space="preserve"> </w:t>
      </w:r>
    </w:p>
    <w:p w14:paraId="2D9F3B73" w14:textId="77777777" w:rsidR="00C45969" w:rsidRDefault="00956A30">
      <w:pPr>
        <w:ind w:right="5"/>
      </w:pPr>
      <w:r>
        <w:t xml:space="preserve">CBD Plot 54385  </w:t>
      </w:r>
      <w:r>
        <w:rPr>
          <w:sz w:val="22"/>
        </w:rPr>
        <w:t xml:space="preserve"> </w:t>
      </w:r>
    </w:p>
    <w:p w14:paraId="50B875EE" w14:textId="77777777" w:rsidR="00C45969" w:rsidRDefault="00956A30" w:rsidP="00AA607C">
      <w:pPr>
        <w:ind w:right="2"/>
      </w:pPr>
      <w:r>
        <w:t xml:space="preserve">Phone: (267) 395 1863 </w:t>
      </w:r>
    </w:p>
    <w:sectPr w:rsidR="00C4596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30B10" w14:textId="77777777" w:rsidR="0014523A" w:rsidRDefault="0014523A" w:rsidP="0014523A">
      <w:pPr>
        <w:spacing w:line="240" w:lineRule="auto"/>
      </w:pPr>
      <w:r>
        <w:separator/>
      </w:r>
    </w:p>
  </w:endnote>
  <w:endnote w:type="continuationSeparator" w:id="0">
    <w:p w14:paraId="1264AC88" w14:textId="77777777" w:rsidR="0014523A" w:rsidRDefault="0014523A" w:rsidP="00145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B9D08" w14:textId="77777777" w:rsidR="0014523A" w:rsidRDefault="0014523A" w:rsidP="0014523A">
      <w:pPr>
        <w:spacing w:line="240" w:lineRule="auto"/>
      </w:pPr>
      <w:r>
        <w:separator/>
      </w:r>
    </w:p>
  </w:footnote>
  <w:footnote w:type="continuationSeparator" w:id="0">
    <w:p w14:paraId="02CC796C" w14:textId="77777777" w:rsidR="0014523A" w:rsidRDefault="0014523A" w:rsidP="001452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209E3"/>
    <w:multiLevelType w:val="hybridMultilevel"/>
    <w:tmpl w:val="D91234FA"/>
    <w:lvl w:ilvl="0" w:tplc="B434A772">
      <w:start w:val="1"/>
      <w:numFmt w:val="decimal"/>
      <w:lvlText w:val="%1)"/>
      <w:lvlJc w:val="left"/>
      <w:pPr>
        <w:ind w:left="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0796E">
      <w:start w:val="1"/>
      <w:numFmt w:val="lowerLetter"/>
      <w:lvlText w:val="%2"/>
      <w:lvlJc w:val="left"/>
      <w:pPr>
        <w:ind w:left="1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10DB70">
      <w:start w:val="1"/>
      <w:numFmt w:val="lowerRoman"/>
      <w:lvlText w:val="%3"/>
      <w:lvlJc w:val="left"/>
      <w:pPr>
        <w:ind w:left="2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301A32">
      <w:start w:val="1"/>
      <w:numFmt w:val="decimal"/>
      <w:lvlText w:val="%4"/>
      <w:lvlJc w:val="left"/>
      <w:pPr>
        <w:ind w:left="3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477BA">
      <w:start w:val="1"/>
      <w:numFmt w:val="lowerLetter"/>
      <w:lvlText w:val="%5"/>
      <w:lvlJc w:val="left"/>
      <w:pPr>
        <w:ind w:left="3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7838C0">
      <w:start w:val="1"/>
      <w:numFmt w:val="lowerRoman"/>
      <w:lvlText w:val="%6"/>
      <w:lvlJc w:val="left"/>
      <w:pPr>
        <w:ind w:left="44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BEC940">
      <w:start w:val="1"/>
      <w:numFmt w:val="decimal"/>
      <w:lvlText w:val="%7"/>
      <w:lvlJc w:val="left"/>
      <w:pPr>
        <w:ind w:left="51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443716">
      <w:start w:val="1"/>
      <w:numFmt w:val="lowerLetter"/>
      <w:lvlText w:val="%8"/>
      <w:lvlJc w:val="left"/>
      <w:pPr>
        <w:ind w:left="58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C4BA4">
      <w:start w:val="1"/>
      <w:numFmt w:val="lowerRoman"/>
      <w:lvlText w:val="%9"/>
      <w:lvlJc w:val="left"/>
      <w:pPr>
        <w:ind w:left="66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1D64DF"/>
    <w:multiLevelType w:val="hybridMultilevel"/>
    <w:tmpl w:val="2BDE5D3A"/>
    <w:lvl w:ilvl="0" w:tplc="1C09000F">
      <w:start w:val="1"/>
      <w:numFmt w:val="decimal"/>
      <w:lvlText w:val="%1."/>
      <w:lvlJc w:val="left"/>
      <w:pPr>
        <w:ind w:left="857" w:hanging="360"/>
      </w:pPr>
    </w:lvl>
    <w:lvl w:ilvl="1" w:tplc="1C090019" w:tentative="1">
      <w:start w:val="1"/>
      <w:numFmt w:val="lowerLetter"/>
      <w:lvlText w:val="%2."/>
      <w:lvlJc w:val="left"/>
      <w:pPr>
        <w:ind w:left="1577" w:hanging="360"/>
      </w:pPr>
    </w:lvl>
    <w:lvl w:ilvl="2" w:tplc="1C09001B" w:tentative="1">
      <w:start w:val="1"/>
      <w:numFmt w:val="lowerRoman"/>
      <w:lvlText w:val="%3."/>
      <w:lvlJc w:val="right"/>
      <w:pPr>
        <w:ind w:left="2297" w:hanging="180"/>
      </w:pPr>
    </w:lvl>
    <w:lvl w:ilvl="3" w:tplc="1C09000F" w:tentative="1">
      <w:start w:val="1"/>
      <w:numFmt w:val="decimal"/>
      <w:lvlText w:val="%4."/>
      <w:lvlJc w:val="left"/>
      <w:pPr>
        <w:ind w:left="3017" w:hanging="360"/>
      </w:pPr>
    </w:lvl>
    <w:lvl w:ilvl="4" w:tplc="1C090019" w:tentative="1">
      <w:start w:val="1"/>
      <w:numFmt w:val="lowerLetter"/>
      <w:lvlText w:val="%5."/>
      <w:lvlJc w:val="left"/>
      <w:pPr>
        <w:ind w:left="3737" w:hanging="360"/>
      </w:pPr>
    </w:lvl>
    <w:lvl w:ilvl="5" w:tplc="1C09001B" w:tentative="1">
      <w:start w:val="1"/>
      <w:numFmt w:val="lowerRoman"/>
      <w:lvlText w:val="%6."/>
      <w:lvlJc w:val="right"/>
      <w:pPr>
        <w:ind w:left="4457" w:hanging="180"/>
      </w:pPr>
    </w:lvl>
    <w:lvl w:ilvl="6" w:tplc="1C09000F" w:tentative="1">
      <w:start w:val="1"/>
      <w:numFmt w:val="decimal"/>
      <w:lvlText w:val="%7."/>
      <w:lvlJc w:val="left"/>
      <w:pPr>
        <w:ind w:left="5177" w:hanging="360"/>
      </w:pPr>
    </w:lvl>
    <w:lvl w:ilvl="7" w:tplc="1C090019" w:tentative="1">
      <w:start w:val="1"/>
      <w:numFmt w:val="lowerLetter"/>
      <w:lvlText w:val="%8."/>
      <w:lvlJc w:val="left"/>
      <w:pPr>
        <w:ind w:left="5897" w:hanging="360"/>
      </w:pPr>
    </w:lvl>
    <w:lvl w:ilvl="8" w:tplc="1C09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69"/>
    <w:rsid w:val="00041DB6"/>
    <w:rsid w:val="000C2F24"/>
    <w:rsid w:val="0014523A"/>
    <w:rsid w:val="00176A0A"/>
    <w:rsid w:val="001F2B8F"/>
    <w:rsid w:val="002507CA"/>
    <w:rsid w:val="002C0693"/>
    <w:rsid w:val="002D0ECF"/>
    <w:rsid w:val="005563FE"/>
    <w:rsid w:val="005E1F99"/>
    <w:rsid w:val="006068CA"/>
    <w:rsid w:val="006E314A"/>
    <w:rsid w:val="00795C32"/>
    <w:rsid w:val="007C7833"/>
    <w:rsid w:val="00900A96"/>
    <w:rsid w:val="00956A30"/>
    <w:rsid w:val="009B4511"/>
    <w:rsid w:val="00A27678"/>
    <w:rsid w:val="00AA607C"/>
    <w:rsid w:val="00AF17D8"/>
    <w:rsid w:val="00C45969"/>
    <w:rsid w:val="00C46703"/>
    <w:rsid w:val="00D05FE9"/>
    <w:rsid w:val="00D72802"/>
    <w:rsid w:val="00E25A7F"/>
    <w:rsid w:val="00E53A1B"/>
    <w:rsid w:val="00E62C98"/>
    <w:rsid w:val="00E701AC"/>
    <w:rsid w:val="00EA02A7"/>
    <w:rsid w:val="00EE5010"/>
    <w:rsid w:val="00F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52FE1"/>
  <w15:docId w15:val="{B376025E-EE38-4FB8-91DF-25E562E3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4" w:hanging="10"/>
      <w:jc w:val="center"/>
    </w:pPr>
    <w:rPr>
      <w:rFonts w:ascii="Maiandra GD" w:eastAsia="Maiandra GD" w:hAnsi="Maiandra GD" w:cs="Maiandra GD"/>
      <w:color w:val="000000"/>
      <w:sz w:val="24"/>
    </w:rPr>
  </w:style>
  <w:style w:type="paragraph" w:styleId="Heading1">
    <w:name w:val="heading 1"/>
    <w:basedOn w:val="Normal"/>
    <w:link w:val="Heading1Char"/>
    <w:uiPriority w:val="9"/>
    <w:qFormat/>
    <w:rsid w:val="00795C32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56A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95C32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table" w:styleId="TableGrid0">
    <w:name w:val="Table Grid"/>
    <w:basedOn w:val="TableNormal"/>
    <w:uiPriority w:val="39"/>
    <w:rsid w:val="00795C32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2C0693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2C0693"/>
    <w:rPr>
      <w:rFonts w:ascii="Arial" w:eastAsia="Times New Roman" w:hAnsi="Arial" w:cs="Times New Roman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E701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4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Mikuwa</dc:creator>
  <cp:keywords/>
  <cp:lastModifiedBy>Lentletse R.  Senthufhe</cp:lastModifiedBy>
  <cp:revision>2</cp:revision>
  <dcterms:created xsi:type="dcterms:W3CDTF">2023-06-22T08:14:00Z</dcterms:created>
  <dcterms:modified xsi:type="dcterms:W3CDTF">2023-06-22T08:14:00Z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2023-06-22T08:14:34Z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6c7daa26-590b-48a4-9b72-eae0d08a813a</vt:lpwstr>
  </property>
  <property fmtid="{D5CDD505-2E9C-101B-9397-08002B2CF9AE}" pid="8" name="MSIP_Label_70d91555-27bb-46d2-9299-bbdc28766cf5_ContentBits">
    <vt:lpwstr>0</vt:lpwstr>
  </property>
</Properties>
</file>