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561" w:rsidRDefault="00EF6561">
      <w:bookmarkStart w:id="0" w:name="_GoBack"/>
      <w:bookmarkEnd w:id="0"/>
    </w:p>
    <w:p w:rsidR="00F17DB4" w:rsidRPr="00F17DB4" w:rsidRDefault="00F17DB4" w:rsidP="00F17DB4">
      <w:pPr>
        <w:jc w:val="center"/>
      </w:pPr>
      <w:r w:rsidRPr="000B04DB">
        <w:rPr>
          <w:rFonts w:ascii="Book Antiqua" w:hAnsi="Book Antiqua"/>
          <w:noProof/>
        </w:rPr>
        <w:drawing>
          <wp:inline distT="0" distB="0" distL="0" distR="0" wp14:anchorId="5F0CD50A" wp14:editId="0A55BA07">
            <wp:extent cx="1211580" cy="1143000"/>
            <wp:effectExtent l="0" t="0" r="7620"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rsidR="00F17DB4" w:rsidRPr="00F17DB4" w:rsidRDefault="00F17DB4" w:rsidP="00F17DB4">
      <w:pPr>
        <w:jc w:val="center"/>
        <w:rPr>
          <w:rFonts w:ascii="Maiandra GD" w:hAnsi="Maiandra GD"/>
          <w:b/>
          <w:sz w:val="24"/>
          <w:szCs w:val="24"/>
          <w:lang w:val="pt-PT"/>
        </w:rPr>
      </w:pPr>
      <w:r w:rsidRPr="00F17DB4">
        <w:rPr>
          <w:rFonts w:ascii="Maiandra GD" w:hAnsi="Maiandra GD"/>
          <w:b/>
          <w:sz w:val="24"/>
          <w:szCs w:val="24"/>
          <w:lang w:val="pt-PT"/>
        </w:rPr>
        <w:t>AVISO ESPECÍFICO DE AQUISIÇÃO</w:t>
      </w:r>
    </w:p>
    <w:p w:rsidR="00F17DB4" w:rsidRPr="00F17DB4" w:rsidRDefault="00F17DB4" w:rsidP="00F17DB4">
      <w:pPr>
        <w:jc w:val="center"/>
        <w:rPr>
          <w:rFonts w:ascii="Maiandra GD" w:hAnsi="Maiandra GD"/>
          <w:b/>
          <w:sz w:val="24"/>
          <w:szCs w:val="24"/>
          <w:lang w:val="pt-PT"/>
        </w:rPr>
      </w:pPr>
    </w:p>
    <w:p w:rsidR="008D5256" w:rsidRDefault="008D5256" w:rsidP="00F17DB4">
      <w:pPr>
        <w:jc w:val="center"/>
        <w:rPr>
          <w:rFonts w:ascii="Maiandra GD" w:hAnsi="Maiandra GD"/>
          <w:b/>
          <w:sz w:val="24"/>
          <w:szCs w:val="24"/>
          <w:lang w:val="pt-PT"/>
        </w:rPr>
      </w:pPr>
      <w:r w:rsidRPr="008D5256">
        <w:rPr>
          <w:rFonts w:ascii="Maiandra GD" w:hAnsi="Maiandra GD"/>
          <w:b/>
          <w:sz w:val="24"/>
          <w:szCs w:val="24"/>
          <w:lang w:val="pt-PT"/>
        </w:rPr>
        <w:t>FORNECIMENTO, INSTALAÇÃO E COLOCAÇÃO EM FUNCIONAMENTO DE EQUIPAMENTOS, SERVIÇOS E SOFTWARE TIC PARA O SECRETARIADO DA SADC</w:t>
      </w:r>
    </w:p>
    <w:p w:rsidR="00F17DB4" w:rsidRPr="00F17DB4" w:rsidRDefault="00F17DB4" w:rsidP="00F17DB4">
      <w:pPr>
        <w:jc w:val="center"/>
        <w:rPr>
          <w:rFonts w:ascii="Maiandra GD" w:hAnsi="Maiandra GD"/>
          <w:b/>
          <w:sz w:val="24"/>
          <w:szCs w:val="24"/>
          <w:lang w:val="pt-PT"/>
        </w:rPr>
      </w:pPr>
    </w:p>
    <w:p w:rsidR="00F17DB4" w:rsidRPr="00F17DB4" w:rsidRDefault="00F17DB4" w:rsidP="00F17DB4">
      <w:pPr>
        <w:jc w:val="center"/>
        <w:rPr>
          <w:rFonts w:ascii="Maiandra GD" w:hAnsi="Maiandra GD"/>
          <w:b/>
          <w:sz w:val="24"/>
          <w:szCs w:val="24"/>
          <w:lang w:val="pt-PT"/>
        </w:rPr>
      </w:pPr>
      <w:r w:rsidRPr="00F17DB4">
        <w:rPr>
          <w:rFonts w:ascii="Maiandra GD" w:hAnsi="Maiandra GD"/>
          <w:b/>
          <w:sz w:val="24"/>
          <w:szCs w:val="24"/>
          <w:lang w:val="pt-PT"/>
        </w:rPr>
        <w:t>PEDIDO DE LICITAÇÃO</w:t>
      </w:r>
    </w:p>
    <w:p w:rsidR="00F17DB4" w:rsidRPr="00F17DB4" w:rsidRDefault="00F17DB4" w:rsidP="00F17DB4">
      <w:pPr>
        <w:jc w:val="both"/>
        <w:rPr>
          <w:rFonts w:ascii="Maiandra GD" w:hAnsi="Maiandra GD"/>
          <w:b/>
          <w:sz w:val="24"/>
          <w:szCs w:val="24"/>
          <w:lang w:val="pt-PT"/>
        </w:rPr>
      </w:pPr>
    </w:p>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Número de Referência: SADC/3/5/4/69</w:t>
      </w:r>
    </w:p>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Entidade de aquisição: SECRETARIADO DA SADC</w:t>
      </w:r>
    </w:p>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Número de lotes:</w:t>
      </w:r>
    </w:p>
    <w:p w:rsidR="00F17DB4" w:rsidRPr="00F17DB4" w:rsidRDefault="00F17DB4" w:rsidP="00F17DB4">
      <w:pPr>
        <w:jc w:val="both"/>
        <w:rPr>
          <w:rFonts w:ascii="Maiandra GD" w:hAnsi="Maiandra GD"/>
          <w:sz w:val="24"/>
          <w:szCs w:val="24"/>
          <w:lang w:val="pt-PT"/>
        </w:rPr>
      </w:pPr>
    </w:p>
    <w:p w:rsidR="00F17DB4" w:rsidRPr="00F17DB4" w:rsidRDefault="00F17DB4" w:rsidP="00F17DB4">
      <w:pPr>
        <w:jc w:val="both"/>
        <w:rPr>
          <w:rFonts w:ascii="Maiandra GD" w:hAnsi="Maiandra GD"/>
          <w:sz w:val="24"/>
          <w:szCs w:val="24"/>
          <w:lang w:val="pt-PT"/>
        </w:rPr>
      </w:pPr>
      <w:r w:rsidRPr="00F17DB4">
        <w:rPr>
          <w:rFonts w:ascii="Maiandra GD" w:hAnsi="Maiandra GD"/>
          <w:sz w:val="24"/>
          <w:szCs w:val="24"/>
          <w:lang w:val="pt-PT"/>
        </w:rPr>
        <w:t>Descrição do número do lote</w:t>
      </w:r>
    </w:p>
    <w:tbl>
      <w:tblPr>
        <w:tblStyle w:val="TableGrid"/>
        <w:tblW w:w="0" w:type="auto"/>
        <w:tblInd w:w="279" w:type="dxa"/>
        <w:tblLook w:val="04A0" w:firstRow="1" w:lastRow="0" w:firstColumn="1" w:lastColumn="0" w:noHBand="0" w:noVBand="1"/>
      </w:tblPr>
      <w:tblGrid>
        <w:gridCol w:w="992"/>
        <w:gridCol w:w="7796"/>
      </w:tblGrid>
      <w:tr w:rsidR="00F17DB4" w:rsidRPr="00F17DB4" w:rsidTr="00F17DB4">
        <w:tc>
          <w:tcPr>
            <w:tcW w:w="992" w:type="dxa"/>
          </w:tcPr>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1</w:t>
            </w:r>
          </w:p>
        </w:tc>
        <w:tc>
          <w:tcPr>
            <w:tcW w:w="7796" w:type="dxa"/>
          </w:tcPr>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Conectividade com a Internet</w:t>
            </w:r>
          </w:p>
        </w:tc>
      </w:tr>
      <w:tr w:rsidR="00F17DB4" w:rsidRPr="00F17DB4" w:rsidTr="00F17DB4">
        <w:tc>
          <w:tcPr>
            <w:tcW w:w="992" w:type="dxa"/>
          </w:tcPr>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2</w:t>
            </w:r>
          </w:p>
        </w:tc>
        <w:tc>
          <w:tcPr>
            <w:tcW w:w="7796" w:type="dxa"/>
          </w:tcPr>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Conectividade de Voz</w:t>
            </w:r>
          </w:p>
        </w:tc>
      </w:tr>
      <w:tr w:rsidR="00F17DB4" w:rsidRPr="00F17DB4" w:rsidTr="00F17DB4">
        <w:tc>
          <w:tcPr>
            <w:tcW w:w="992" w:type="dxa"/>
          </w:tcPr>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3</w:t>
            </w:r>
          </w:p>
        </w:tc>
        <w:tc>
          <w:tcPr>
            <w:tcW w:w="7796" w:type="dxa"/>
          </w:tcPr>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Fornecimento e Instalação de Equipamentos de Rede</w:t>
            </w:r>
          </w:p>
        </w:tc>
      </w:tr>
      <w:tr w:rsidR="00F17DB4" w:rsidRPr="00F17DB4" w:rsidTr="00F17DB4">
        <w:tc>
          <w:tcPr>
            <w:tcW w:w="992" w:type="dxa"/>
          </w:tcPr>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4</w:t>
            </w:r>
          </w:p>
        </w:tc>
        <w:tc>
          <w:tcPr>
            <w:tcW w:w="7796" w:type="dxa"/>
          </w:tcPr>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Equipamentos de Dispositivos de TIC</w:t>
            </w:r>
          </w:p>
        </w:tc>
      </w:tr>
      <w:tr w:rsidR="00F17DB4" w:rsidRPr="00F17DB4" w:rsidTr="00F17DB4">
        <w:tc>
          <w:tcPr>
            <w:tcW w:w="992" w:type="dxa"/>
          </w:tcPr>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5</w:t>
            </w:r>
          </w:p>
        </w:tc>
        <w:tc>
          <w:tcPr>
            <w:tcW w:w="7796" w:type="dxa"/>
          </w:tcPr>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Fornecimento de Servidor para armazenamento</w:t>
            </w:r>
          </w:p>
        </w:tc>
      </w:tr>
    </w:tbl>
    <w:p w:rsidR="00F17DB4" w:rsidRPr="00F17DB4" w:rsidRDefault="00F17DB4" w:rsidP="00F17DB4">
      <w:pPr>
        <w:jc w:val="both"/>
        <w:rPr>
          <w:rFonts w:ascii="Maiandra GD" w:hAnsi="Maiandra GD"/>
          <w:sz w:val="24"/>
          <w:szCs w:val="24"/>
          <w:lang w:val="pt-PT"/>
        </w:rPr>
      </w:pPr>
    </w:p>
    <w:p w:rsidR="00F17DB4" w:rsidRPr="00F17DB4" w:rsidRDefault="00F17DB4" w:rsidP="00F17DB4">
      <w:pPr>
        <w:jc w:val="both"/>
        <w:rPr>
          <w:rFonts w:ascii="Maiandra GD" w:hAnsi="Maiandra GD"/>
          <w:sz w:val="24"/>
          <w:szCs w:val="24"/>
          <w:lang w:val="pt-PT"/>
        </w:rPr>
      </w:pPr>
      <w:r w:rsidRPr="00F17DB4">
        <w:rPr>
          <w:rFonts w:ascii="Maiandra GD" w:hAnsi="Maiandra GD"/>
          <w:sz w:val="24"/>
          <w:szCs w:val="24"/>
          <w:lang w:val="pt-PT"/>
        </w:rPr>
        <w:t>Localização: Secretariado da SADC, Western Commercial Road (perto de Lobatse e Siboni Roads), CBD Plot 54385, Private Bag 0095, Gaborone, BOTSWANA.</w:t>
      </w:r>
    </w:p>
    <w:p w:rsidR="00F17DB4" w:rsidRPr="00F17DB4" w:rsidRDefault="00F17DB4" w:rsidP="00F17DB4">
      <w:pPr>
        <w:jc w:val="both"/>
        <w:rPr>
          <w:rFonts w:ascii="Maiandra GD" w:hAnsi="Maiandra GD"/>
          <w:sz w:val="24"/>
          <w:szCs w:val="24"/>
          <w:lang w:val="pt-PT"/>
        </w:rPr>
      </w:pPr>
    </w:p>
    <w:p w:rsidR="00F17DB4" w:rsidRPr="00F17DB4" w:rsidRDefault="00F17DB4" w:rsidP="00F17DB4">
      <w:pPr>
        <w:jc w:val="both"/>
        <w:rPr>
          <w:rFonts w:ascii="Maiandra GD" w:hAnsi="Maiandra GD"/>
          <w:sz w:val="24"/>
          <w:szCs w:val="24"/>
          <w:lang w:val="pt-PT"/>
        </w:rPr>
      </w:pPr>
      <w:r w:rsidRPr="00F17DB4">
        <w:rPr>
          <w:rFonts w:ascii="Maiandra GD" w:hAnsi="Maiandra GD"/>
          <w:sz w:val="24"/>
          <w:szCs w:val="24"/>
          <w:lang w:val="pt-PT"/>
        </w:rPr>
        <w:t>1. O Secretariado da Comunidade da África Austral (SADC) pretende usar parte do seu fundo orçamentado para cobrir pagamentos elegíveis ao abrigo do contrato de AQUISIÇÃO DE FORNECIMENTO, INSTALAÇÃO DE EQUIPAMENTOS TIC, SERVIÇOS E SOFTWARE PARA OS ESCRITÓRIOS do Centro Humanitário e de Operações de Emergência (SHOC) da SADC .</w:t>
      </w:r>
    </w:p>
    <w:p w:rsidR="00F17DB4" w:rsidRPr="00F17DB4" w:rsidRDefault="00F17DB4" w:rsidP="00F17DB4">
      <w:pPr>
        <w:jc w:val="both"/>
        <w:rPr>
          <w:rFonts w:ascii="Maiandra GD" w:hAnsi="Maiandra GD"/>
          <w:sz w:val="24"/>
          <w:szCs w:val="24"/>
          <w:lang w:val="pt-PT"/>
        </w:rPr>
      </w:pPr>
      <w:r w:rsidRPr="00F17DB4">
        <w:rPr>
          <w:rFonts w:ascii="Maiandra GD" w:hAnsi="Maiandra GD"/>
          <w:sz w:val="24"/>
          <w:szCs w:val="24"/>
          <w:lang w:val="pt-PT"/>
        </w:rPr>
        <w:lastRenderedPageBreak/>
        <w:t>2. O Secretariado da SADC convida agora as empresas elegíveis interessadas a concorrer ao Contrato.</w:t>
      </w:r>
    </w:p>
    <w:p w:rsidR="00F17DB4" w:rsidRPr="00F17DB4" w:rsidRDefault="00F17DB4" w:rsidP="00F17DB4">
      <w:pPr>
        <w:jc w:val="both"/>
        <w:rPr>
          <w:rFonts w:ascii="Maiandra GD" w:hAnsi="Maiandra GD"/>
          <w:sz w:val="24"/>
          <w:szCs w:val="24"/>
          <w:lang w:val="pt-PT"/>
        </w:rPr>
      </w:pPr>
      <w:r w:rsidRPr="00F17DB4">
        <w:rPr>
          <w:rFonts w:ascii="Maiandra GD" w:hAnsi="Maiandra GD"/>
          <w:sz w:val="24"/>
          <w:szCs w:val="24"/>
          <w:lang w:val="pt-PT"/>
        </w:rPr>
        <w:t>3. O método de aquisição usado para este contrato é o método de licitação aberta, conforme definido na Política e Diretrizes de Aquisição do Secretariado da SADC revisada agosto de 2021 disponível no seguinte site: www.sadc.int</w:t>
      </w:r>
    </w:p>
    <w:p w:rsidR="00F17DB4" w:rsidRPr="00F17DB4" w:rsidRDefault="00F17DB4" w:rsidP="00F17DB4">
      <w:pPr>
        <w:jc w:val="both"/>
        <w:rPr>
          <w:rFonts w:ascii="Maiandra GD" w:hAnsi="Maiandra GD"/>
          <w:sz w:val="24"/>
          <w:szCs w:val="24"/>
          <w:lang w:val="pt-PT"/>
        </w:rPr>
      </w:pPr>
      <w:r w:rsidRPr="00F17DB4">
        <w:rPr>
          <w:rFonts w:ascii="Maiandra GD" w:hAnsi="Maiandra GD"/>
          <w:sz w:val="24"/>
          <w:szCs w:val="24"/>
          <w:lang w:val="pt-PT"/>
        </w:rPr>
        <w:t>4. O Documento de Concurso com especificações detalhadas pode ser acedido através do link abaixo.</w:t>
      </w:r>
    </w:p>
    <w:p w:rsidR="00F17DB4" w:rsidRPr="00F17DB4" w:rsidRDefault="00F17DB4" w:rsidP="00F17DB4">
      <w:pPr>
        <w:jc w:val="both"/>
        <w:rPr>
          <w:rFonts w:ascii="Maiandra GD" w:hAnsi="Maiandra GD"/>
          <w:sz w:val="24"/>
          <w:szCs w:val="24"/>
          <w:lang w:val="pt-PT"/>
        </w:rPr>
      </w:pPr>
      <w:r w:rsidRPr="00F17DB4">
        <w:rPr>
          <w:rFonts w:ascii="Maiandra GD" w:hAnsi="Maiandra GD"/>
          <w:sz w:val="24"/>
          <w:szCs w:val="24"/>
          <w:lang w:val="pt-PT"/>
        </w:rPr>
        <w:t xml:space="preserve">5. A hora e data de encerramento para apresentação enviada eletronicamente por meio do link Cloud no Collab: - indicada nos documentos de licitação é segunda-feira, </w:t>
      </w:r>
      <w:r w:rsidRPr="00F17DB4">
        <w:rPr>
          <w:rFonts w:ascii="Maiandra GD" w:hAnsi="Maiandra GD"/>
          <w:b/>
          <w:sz w:val="24"/>
          <w:szCs w:val="24"/>
          <w:lang w:val="pt-PT"/>
        </w:rPr>
        <w:t>6 de março de 2023, à “meia-noite, horário local de Botswana”</w:t>
      </w:r>
      <w:r w:rsidRPr="00F17DB4">
        <w:rPr>
          <w:rFonts w:ascii="Maiandra GD" w:hAnsi="Maiandra GD"/>
          <w:sz w:val="24"/>
          <w:szCs w:val="24"/>
          <w:lang w:val="pt-PT"/>
        </w:rPr>
        <w:t>. As propostas recebidas após esta hora e data, ou apresentadas de forma diferente da indicada no documento de concurso, não serão consideradas.</w:t>
      </w:r>
    </w:p>
    <w:p w:rsidR="00F17DB4" w:rsidRPr="00F17DB4" w:rsidRDefault="00F17DB4" w:rsidP="00F17DB4">
      <w:pPr>
        <w:jc w:val="both"/>
        <w:rPr>
          <w:rFonts w:ascii="Maiandra GD" w:hAnsi="Maiandra GD"/>
          <w:sz w:val="24"/>
          <w:szCs w:val="24"/>
          <w:lang w:val="pt-PT"/>
        </w:rPr>
      </w:pPr>
      <w:r w:rsidRPr="00F17DB4">
        <w:rPr>
          <w:rFonts w:ascii="Maiandra GD" w:hAnsi="Maiandra GD"/>
          <w:sz w:val="24"/>
          <w:szCs w:val="24"/>
          <w:lang w:val="pt-PT"/>
        </w:rPr>
        <w:t>6. Todas as notificações relativas a este processo de contratação, incluindo: ou avisos de cancelamento, pedidos de esclarecimento e as respectivas respostas serão publicadas abaixo.</w:t>
      </w:r>
    </w:p>
    <w:p w:rsidR="00F17DB4" w:rsidRPr="00F17DB4" w:rsidRDefault="00F17DB4" w:rsidP="00F17DB4">
      <w:pPr>
        <w:jc w:val="both"/>
        <w:rPr>
          <w:rFonts w:ascii="Maiandra GD" w:hAnsi="Maiandra GD"/>
          <w:sz w:val="24"/>
          <w:szCs w:val="24"/>
          <w:lang w:val="pt-PT"/>
        </w:rPr>
      </w:pPr>
      <w:r w:rsidRPr="00F17DB4">
        <w:rPr>
          <w:rFonts w:ascii="Maiandra GD" w:hAnsi="Maiandra GD"/>
          <w:sz w:val="24"/>
          <w:szCs w:val="24"/>
          <w:lang w:val="pt-PT"/>
        </w:rPr>
        <w:t>7. As empresas interessadas poderão buscar esclarecimentos e/ou informações adicionais sobre este Edital, através dos e-mails abaixo. O esclarecimento precisa chegar à SADC até vinte e um (21) dias corridos antes do prazo de envio indicado em 5 acima:</w:t>
      </w:r>
    </w:p>
    <w:p w:rsidR="00F17DB4" w:rsidRPr="00F17DB4" w:rsidRDefault="00F17DB4" w:rsidP="00F17DB4">
      <w:pPr>
        <w:jc w:val="both"/>
        <w:rPr>
          <w:rFonts w:ascii="Maiandra GD" w:hAnsi="Maiandra GD"/>
          <w:sz w:val="24"/>
          <w:szCs w:val="24"/>
          <w:lang w:val="pt-PT"/>
        </w:rPr>
      </w:pPr>
      <w:r w:rsidRPr="00F17DB4">
        <w:rPr>
          <w:rFonts w:ascii="Maiandra GD" w:hAnsi="Maiandra GD"/>
          <w:sz w:val="24"/>
          <w:szCs w:val="24"/>
          <w:lang w:val="pt-PT"/>
        </w:rPr>
        <w:t>8. A resposta às questões recebidas será publicada no site do Secretariado da SADC o mais tardar onze (11) dias de calendário antes da data limite para apresentação da proposta.</w:t>
      </w:r>
    </w:p>
    <w:p w:rsidR="00F17DB4" w:rsidRDefault="00F17DB4" w:rsidP="00F17DB4">
      <w:pPr>
        <w:jc w:val="both"/>
        <w:rPr>
          <w:rFonts w:ascii="Maiandra GD" w:hAnsi="Maiandra GD"/>
          <w:sz w:val="24"/>
          <w:szCs w:val="24"/>
          <w:lang w:val="pt-PT"/>
        </w:rPr>
      </w:pPr>
    </w:p>
    <w:p w:rsidR="00F17DB4" w:rsidRPr="00F17DB4" w:rsidRDefault="00F17DB4" w:rsidP="00F17DB4">
      <w:pPr>
        <w:jc w:val="both"/>
        <w:rPr>
          <w:rFonts w:ascii="Maiandra GD" w:hAnsi="Maiandra GD"/>
          <w:sz w:val="24"/>
          <w:szCs w:val="24"/>
          <w:lang w:val="pt-PT"/>
        </w:rPr>
      </w:pPr>
    </w:p>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Atenção: Sr. Thom Chabwera, Diretor Sênior de Compras</w:t>
      </w:r>
    </w:p>
    <w:p w:rsidR="00F17DB4" w:rsidRPr="00F17DB4" w:rsidRDefault="00F17DB4" w:rsidP="00F17DB4">
      <w:pPr>
        <w:jc w:val="both"/>
        <w:rPr>
          <w:rFonts w:ascii="Maiandra GD" w:hAnsi="Maiandra GD"/>
          <w:b/>
          <w:sz w:val="24"/>
          <w:szCs w:val="24"/>
          <w:lang w:val="pt-PT"/>
        </w:rPr>
      </w:pPr>
      <w:r w:rsidRPr="00F17DB4">
        <w:rPr>
          <w:rFonts w:ascii="Maiandra GD" w:hAnsi="Maiandra GD"/>
          <w:b/>
          <w:sz w:val="24"/>
          <w:szCs w:val="24"/>
          <w:lang w:val="pt-PT"/>
        </w:rPr>
        <w:t>E-mail: mmik</w:t>
      </w:r>
      <w:r>
        <w:rPr>
          <w:rFonts w:ascii="Maiandra GD" w:hAnsi="Maiandra GD"/>
          <w:b/>
          <w:sz w:val="24"/>
          <w:szCs w:val="24"/>
          <w:lang w:val="pt-PT"/>
        </w:rPr>
        <w:t xml:space="preserve">uwa@sadc.int; tenders@sadc.int </w:t>
      </w:r>
    </w:p>
    <w:p w:rsidR="00F17DB4" w:rsidRPr="00F17DB4" w:rsidRDefault="00F17DB4" w:rsidP="00F17DB4">
      <w:pPr>
        <w:jc w:val="both"/>
        <w:rPr>
          <w:rFonts w:ascii="Maiandra GD" w:hAnsi="Maiandra GD"/>
          <w:b/>
          <w:sz w:val="24"/>
          <w:szCs w:val="24"/>
        </w:rPr>
      </w:pPr>
      <w:r w:rsidRPr="00F17DB4">
        <w:rPr>
          <w:rFonts w:ascii="Maiandra GD" w:hAnsi="Maiandra GD"/>
          <w:b/>
          <w:sz w:val="24"/>
          <w:szCs w:val="24"/>
          <w:lang w:val="pt-PT"/>
        </w:rPr>
        <w:t>Cópia: tchabwera@sadc.int ; amuradza@sadc.int</w:t>
      </w:r>
    </w:p>
    <w:p w:rsidR="00F17DB4" w:rsidRDefault="00F17DB4"/>
    <w:sectPr w:rsidR="00F17D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B4"/>
    <w:rsid w:val="008D5256"/>
    <w:rsid w:val="00E12A88"/>
    <w:rsid w:val="00EF6561"/>
    <w:rsid w:val="00F1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DD594-8A53-4528-BF2E-259AF3CF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7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0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2023-01-24T10:11:00Z</dcterms:created>
  <dcterms:modified xsi:type="dcterms:W3CDTF">2023-01-24T10:11:00Z</dcterms:modified>
</cp:coreProperties>
</file>