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DE897" w14:textId="3F3DEA50" w:rsidR="00525029" w:rsidRDefault="00C308BB">
      <w:pPr>
        <w:spacing w:line="360" w:lineRule="exact"/>
      </w:pPr>
      <w:r>
        <w:rPr>
          <w:noProof/>
          <w:lang w:val="en-ZA" w:eastAsia="en-ZA" w:bidi="ar-SA"/>
        </w:rPr>
        <w:drawing>
          <wp:anchor distT="0" distB="0" distL="114300" distR="114300" simplePos="0" relativeHeight="251658240" behindDoc="0" locked="0" layoutInCell="1" allowOverlap="1" wp14:anchorId="010FF71E" wp14:editId="5DE00402">
            <wp:simplePos x="0" y="0"/>
            <wp:positionH relativeFrom="column">
              <wp:posOffset>2389505</wp:posOffset>
            </wp:positionH>
            <wp:positionV relativeFrom="paragraph">
              <wp:posOffset>0</wp:posOffset>
            </wp:positionV>
            <wp:extent cx="1225550" cy="118872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22555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B0E1DD" w14:textId="402DFC89" w:rsidR="00525029" w:rsidRDefault="00525029">
      <w:pPr>
        <w:spacing w:line="360" w:lineRule="exact"/>
      </w:pPr>
    </w:p>
    <w:p w14:paraId="0AD5C29D" w14:textId="77777777" w:rsidR="00525029" w:rsidRDefault="00525029">
      <w:pPr>
        <w:spacing w:line="360" w:lineRule="exact"/>
      </w:pPr>
    </w:p>
    <w:p w14:paraId="4597C705" w14:textId="77777777" w:rsidR="00525029" w:rsidRDefault="00525029">
      <w:pPr>
        <w:spacing w:line="360" w:lineRule="exact"/>
      </w:pPr>
    </w:p>
    <w:p w14:paraId="6ABAD751" w14:textId="77777777" w:rsidR="00525029" w:rsidRDefault="00525029">
      <w:pPr>
        <w:spacing w:after="426" w:line="1" w:lineRule="exact"/>
      </w:pPr>
    </w:p>
    <w:p w14:paraId="1CE329BA" w14:textId="104778F9" w:rsidR="000D615C" w:rsidRDefault="000D615C">
      <w:pPr>
        <w:spacing w:line="1" w:lineRule="exact"/>
        <w:rPr>
          <w:rFonts w:ascii="Arial" w:hAnsi="Arial" w:cs="Arial"/>
        </w:rPr>
      </w:pPr>
    </w:p>
    <w:p w14:paraId="20F8AF0B" w14:textId="3447D3FF" w:rsidR="000D615C" w:rsidRDefault="000D615C" w:rsidP="000377D8">
      <w:pPr>
        <w:tabs>
          <w:tab w:val="left" w:pos="6882"/>
        </w:tabs>
        <w:rPr>
          <w:rFonts w:ascii="Arial" w:hAnsi="Arial" w:cs="Arial"/>
        </w:rPr>
      </w:pPr>
      <w:r>
        <w:rPr>
          <w:rFonts w:ascii="Arial" w:hAnsi="Arial"/>
        </w:rPr>
        <w:tab/>
      </w:r>
    </w:p>
    <w:p w14:paraId="429CAEEF" w14:textId="0C2669DF" w:rsidR="0095236D" w:rsidRDefault="0095236D" w:rsidP="000377D8">
      <w:pPr>
        <w:tabs>
          <w:tab w:val="left" w:pos="6882"/>
        </w:tabs>
        <w:rPr>
          <w:rFonts w:ascii="Arial" w:hAnsi="Arial" w:cs="Arial"/>
        </w:rPr>
      </w:pPr>
    </w:p>
    <w:p w14:paraId="38B8473C" w14:textId="0EB0D7C5" w:rsidR="0095236D" w:rsidRDefault="0095236D" w:rsidP="000377D8">
      <w:pPr>
        <w:tabs>
          <w:tab w:val="left" w:pos="6882"/>
        </w:tabs>
        <w:rPr>
          <w:rFonts w:ascii="Arial" w:hAnsi="Arial" w:cs="Arial"/>
        </w:rPr>
      </w:pPr>
    </w:p>
    <w:p w14:paraId="315252D8" w14:textId="32BD7492" w:rsidR="0095236D" w:rsidRDefault="0095236D" w:rsidP="000377D8">
      <w:pPr>
        <w:tabs>
          <w:tab w:val="left" w:pos="6882"/>
        </w:tabs>
        <w:rPr>
          <w:rFonts w:ascii="Arial" w:hAnsi="Arial" w:cs="Arial"/>
        </w:rPr>
      </w:pPr>
    </w:p>
    <w:p w14:paraId="292DE2C7" w14:textId="7F341E70" w:rsidR="0095236D" w:rsidRDefault="0095236D" w:rsidP="000377D8">
      <w:pPr>
        <w:tabs>
          <w:tab w:val="left" w:pos="6882"/>
        </w:tabs>
        <w:rPr>
          <w:rFonts w:ascii="Arial" w:hAnsi="Arial" w:cs="Arial"/>
        </w:rPr>
      </w:pPr>
    </w:p>
    <w:p w14:paraId="0D80A467" w14:textId="18C9538F" w:rsidR="0095236D" w:rsidRDefault="0095236D" w:rsidP="000377D8">
      <w:pPr>
        <w:tabs>
          <w:tab w:val="left" w:pos="6882"/>
        </w:tabs>
        <w:rPr>
          <w:rFonts w:ascii="Arial" w:hAnsi="Arial" w:cs="Arial"/>
        </w:rPr>
      </w:pPr>
    </w:p>
    <w:p w14:paraId="7E975B61" w14:textId="0FFBF0E7" w:rsidR="0095236D" w:rsidRDefault="0095236D" w:rsidP="000377D8">
      <w:pPr>
        <w:tabs>
          <w:tab w:val="left" w:pos="6882"/>
        </w:tabs>
        <w:rPr>
          <w:rFonts w:ascii="Arial" w:hAnsi="Arial" w:cs="Arial"/>
        </w:rPr>
      </w:pPr>
    </w:p>
    <w:p w14:paraId="4F558CEF" w14:textId="3FB52B1A" w:rsidR="0095236D" w:rsidRDefault="0095236D" w:rsidP="000377D8">
      <w:pPr>
        <w:tabs>
          <w:tab w:val="left" w:pos="6882"/>
        </w:tabs>
        <w:rPr>
          <w:rFonts w:ascii="Arial" w:hAnsi="Arial" w:cs="Arial"/>
        </w:rPr>
      </w:pPr>
    </w:p>
    <w:p w14:paraId="244352E6" w14:textId="5A027C34" w:rsidR="0095236D" w:rsidRDefault="0095236D" w:rsidP="000377D8">
      <w:pPr>
        <w:tabs>
          <w:tab w:val="left" w:pos="6882"/>
        </w:tabs>
        <w:rPr>
          <w:rFonts w:ascii="Arial" w:hAnsi="Arial" w:cs="Arial"/>
        </w:rPr>
      </w:pPr>
    </w:p>
    <w:p w14:paraId="2C63C736" w14:textId="61C0C415" w:rsidR="0095236D" w:rsidRDefault="0095236D" w:rsidP="000377D8">
      <w:pPr>
        <w:tabs>
          <w:tab w:val="left" w:pos="6882"/>
        </w:tabs>
        <w:rPr>
          <w:rFonts w:ascii="Arial" w:hAnsi="Arial" w:cs="Arial"/>
        </w:rPr>
      </w:pPr>
    </w:p>
    <w:p w14:paraId="3B2F3711" w14:textId="4CA1DA8F" w:rsidR="0095236D" w:rsidRDefault="0095236D" w:rsidP="000377D8">
      <w:pPr>
        <w:tabs>
          <w:tab w:val="left" w:pos="6882"/>
        </w:tabs>
        <w:rPr>
          <w:rFonts w:ascii="Arial" w:hAnsi="Arial" w:cs="Arial"/>
        </w:rPr>
      </w:pPr>
    </w:p>
    <w:p w14:paraId="784A7930" w14:textId="77777777" w:rsidR="0095236D" w:rsidRDefault="0095236D" w:rsidP="000377D8">
      <w:pPr>
        <w:tabs>
          <w:tab w:val="left" w:pos="6882"/>
        </w:tabs>
        <w:rPr>
          <w:rFonts w:ascii="Arial" w:hAnsi="Arial" w:cs="Arial"/>
        </w:rPr>
      </w:pPr>
    </w:p>
    <w:p w14:paraId="45DFF7F5" w14:textId="5B43C838" w:rsidR="00131B02" w:rsidRPr="00131B02" w:rsidRDefault="00131B02" w:rsidP="00131B02">
      <w:pPr>
        <w:widowControl/>
        <w:suppressAutoHyphens/>
        <w:spacing w:after="200" w:line="276" w:lineRule="auto"/>
        <w:jc w:val="center"/>
        <w:rPr>
          <w:rFonts w:ascii="Arial" w:eastAsia="Arial" w:hAnsi="Arial"/>
          <w:b/>
          <w:color w:val="auto"/>
          <w:sz w:val="32"/>
          <w:szCs w:val="22"/>
        </w:rPr>
      </w:pPr>
      <w:r>
        <w:rPr>
          <w:rFonts w:ascii="Arial" w:hAnsi="Arial"/>
          <w:b/>
          <w:color w:val="auto"/>
          <w:sz w:val="32"/>
        </w:rPr>
        <w:t>PROJECTO DE TERMOS DE REFERÊNCIA</w:t>
      </w:r>
      <w:r w:rsidR="00780BC3">
        <w:rPr>
          <w:rFonts w:ascii="Arial" w:hAnsi="Arial"/>
          <w:b/>
          <w:color w:val="auto"/>
          <w:sz w:val="32"/>
        </w:rPr>
        <w:t xml:space="preserve"> </w:t>
      </w:r>
    </w:p>
    <w:p w14:paraId="3C383990" w14:textId="28A74940" w:rsidR="00131B02" w:rsidRPr="00131B02" w:rsidRDefault="00780BC3" w:rsidP="00131B02">
      <w:pPr>
        <w:widowControl/>
        <w:suppressAutoHyphens/>
        <w:spacing w:after="200" w:line="276" w:lineRule="auto"/>
        <w:jc w:val="center"/>
        <w:rPr>
          <w:rFonts w:ascii="Arial" w:eastAsia="Arial" w:hAnsi="Arial"/>
          <w:b/>
          <w:color w:val="auto"/>
          <w:sz w:val="32"/>
          <w:szCs w:val="22"/>
        </w:rPr>
      </w:pPr>
      <w:r>
        <w:rPr>
          <w:rFonts w:ascii="Arial" w:hAnsi="Arial"/>
          <w:b/>
          <w:color w:val="auto"/>
          <w:sz w:val="32"/>
        </w:rPr>
        <w:t xml:space="preserve">DOS </w:t>
      </w:r>
      <w:r w:rsidR="00131B02">
        <w:rPr>
          <w:rFonts w:ascii="Arial" w:hAnsi="Arial"/>
          <w:b/>
          <w:color w:val="auto"/>
          <w:sz w:val="32"/>
        </w:rPr>
        <w:t>SERVIÇOS DE CONSULTORIA</w:t>
      </w:r>
    </w:p>
    <w:p w14:paraId="0AE0BA7E" w14:textId="5EE05422" w:rsidR="000D615C" w:rsidRPr="00131B02" w:rsidRDefault="00131B02" w:rsidP="00131B02">
      <w:pPr>
        <w:widowControl/>
        <w:suppressAutoHyphens/>
        <w:spacing w:after="200" w:line="276" w:lineRule="auto"/>
        <w:jc w:val="center"/>
        <w:rPr>
          <w:rFonts w:ascii="Arial Black" w:eastAsia="Arial" w:hAnsi="Arial Black"/>
          <w:b/>
          <w:color w:val="auto"/>
          <w:sz w:val="44"/>
          <w:szCs w:val="22"/>
        </w:rPr>
      </w:pPr>
      <w:r>
        <w:rPr>
          <w:rFonts w:ascii="Arial" w:hAnsi="Arial"/>
          <w:b/>
          <w:color w:val="auto"/>
          <w:sz w:val="32"/>
        </w:rPr>
        <w:t>PARA</w:t>
      </w:r>
    </w:p>
    <w:p w14:paraId="7D6A7924" w14:textId="1F9F0BA1" w:rsidR="00543AEB" w:rsidRDefault="00780BC3" w:rsidP="00131B02">
      <w:pPr>
        <w:widowControl/>
        <w:suppressAutoHyphens/>
        <w:spacing w:after="200" w:line="276" w:lineRule="auto"/>
        <w:jc w:val="center"/>
        <w:rPr>
          <w:rFonts w:ascii="Arial" w:eastAsia="Arial" w:hAnsi="Arial"/>
          <w:b/>
          <w:color w:val="auto"/>
          <w:sz w:val="32"/>
          <w:szCs w:val="22"/>
        </w:rPr>
      </w:pPr>
      <w:r>
        <w:rPr>
          <w:rFonts w:ascii="Arial" w:hAnsi="Arial"/>
          <w:b/>
          <w:color w:val="auto"/>
          <w:sz w:val="32"/>
        </w:rPr>
        <w:t xml:space="preserve">O </w:t>
      </w:r>
      <w:r w:rsidR="00131B02">
        <w:rPr>
          <w:rFonts w:ascii="Arial" w:hAnsi="Arial"/>
          <w:b/>
          <w:color w:val="auto"/>
          <w:sz w:val="32"/>
        </w:rPr>
        <w:t xml:space="preserve">PERITO JURÍDICO </w:t>
      </w:r>
      <w:r>
        <w:rPr>
          <w:rFonts w:ascii="Arial" w:hAnsi="Arial"/>
          <w:b/>
          <w:color w:val="auto"/>
          <w:sz w:val="32"/>
        </w:rPr>
        <w:t xml:space="preserve">INCUMBIDO DE </w:t>
      </w:r>
      <w:r w:rsidR="00131B02">
        <w:rPr>
          <w:rFonts w:ascii="Arial" w:hAnsi="Arial"/>
          <w:b/>
          <w:color w:val="auto"/>
          <w:sz w:val="32"/>
        </w:rPr>
        <w:t xml:space="preserve">REALIZAR A DEVIDA DILIGÊNCIA RELATIVA AOS PROJECTOS DE ENERGIA REGIONAIS </w:t>
      </w:r>
    </w:p>
    <w:p w14:paraId="0895382E" w14:textId="77777777" w:rsidR="00873B19" w:rsidRPr="00C308BB" w:rsidRDefault="00873B19" w:rsidP="00131B02">
      <w:pPr>
        <w:widowControl/>
        <w:suppressAutoHyphens/>
        <w:spacing w:after="200" w:line="276" w:lineRule="auto"/>
        <w:jc w:val="center"/>
        <w:rPr>
          <w:rFonts w:ascii="Arial" w:eastAsia="Arial" w:hAnsi="Arial"/>
          <w:b/>
          <w:color w:val="auto"/>
          <w:sz w:val="32"/>
          <w:szCs w:val="22"/>
          <w:lang w:bidi="ar-SA"/>
        </w:rPr>
      </w:pPr>
    </w:p>
    <w:p w14:paraId="09FB2AD6" w14:textId="77777777" w:rsidR="00873B19" w:rsidRPr="00C308BB" w:rsidRDefault="00873B19" w:rsidP="00131B02">
      <w:pPr>
        <w:widowControl/>
        <w:suppressAutoHyphens/>
        <w:spacing w:after="200" w:line="276" w:lineRule="auto"/>
        <w:jc w:val="center"/>
        <w:rPr>
          <w:rFonts w:ascii="Arial" w:eastAsia="Arial" w:hAnsi="Arial"/>
          <w:b/>
          <w:color w:val="auto"/>
          <w:sz w:val="32"/>
          <w:szCs w:val="22"/>
          <w:lang w:bidi="ar-SA"/>
        </w:rPr>
      </w:pPr>
    </w:p>
    <w:p w14:paraId="3A737984" w14:textId="77777777" w:rsidR="00873B19" w:rsidRPr="00C308BB" w:rsidRDefault="00873B19" w:rsidP="00131B02">
      <w:pPr>
        <w:widowControl/>
        <w:suppressAutoHyphens/>
        <w:spacing w:after="200" w:line="276" w:lineRule="auto"/>
        <w:jc w:val="center"/>
        <w:rPr>
          <w:rFonts w:ascii="Arial" w:eastAsia="Arial" w:hAnsi="Arial"/>
          <w:b/>
          <w:color w:val="auto"/>
          <w:sz w:val="32"/>
          <w:szCs w:val="22"/>
          <w:lang w:bidi="ar-SA"/>
        </w:rPr>
      </w:pPr>
    </w:p>
    <w:p w14:paraId="38864B75" w14:textId="77777777" w:rsidR="00873B19" w:rsidRPr="00C308BB" w:rsidRDefault="00873B19" w:rsidP="00131B02">
      <w:pPr>
        <w:widowControl/>
        <w:suppressAutoHyphens/>
        <w:spacing w:after="200" w:line="276" w:lineRule="auto"/>
        <w:jc w:val="center"/>
        <w:rPr>
          <w:rFonts w:ascii="Arial" w:eastAsia="Arial" w:hAnsi="Arial"/>
          <w:b/>
          <w:color w:val="auto"/>
          <w:sz w:val="32"/>
          <w:szCs w:val="22"/>
          <w:lang w:bidi="ar-SA"/>
        </w:rPr>
      </w:pPr>
    </w:p>
    <w:p w14:paraId="6F8BAC29" w14:textId="77777777" w:rsidR="00873B19" w:rsidRPr="00C308BB" w:rsidRDefault="00873B19" w:rsidP="00131B02">
      <w:pPr>
        <w:widowControl/>
        <w:suppressAutoHyphens/>
        <w:spacing w:after="200" w:line="276" w:lineRule="auto"/>
        <w:jc w:val="center"/>
        <w:rPr>
          <w:rFonts w:ascii="Arial" w:eastAsia="Arial" w:hAnsi="Arial"/>
          <w:b/>
          <w:color w:val="auto"/>
          <w:sz w:val="32"/>
          <w:szCs w:val="22"/>
          <w:lang w:bidi="ar-SA"/>
        </w:rPr>
      </w:pPr>
    </w:p>
    <w:p w14:paraId="6D76C5B5" w14:textId="77777777" w:rsidR="00873B19" w:rsidRPr="00C308BB" w:rsidRDefault="00873B19" w:rsidP="00873B19">
      <w:pPr>
        <w:widowControl/>
        <w:suppressAutoHyphens/>
        <w:spacing w:after="200" w:line="276" w:lineRule="auto"/>
        <w:rPr>
          <w:rFonts w:ascii="Arial" w:eastAsia="Arial" w:hAnsi="Arial"/>
          <w:b/>
          <w:color w:val="auto"/>
          <w:sz w:val="32"/>
          <w:szCs w:val="22"/>
          <w:lang w:bidi="ar-SA"/>
        </w:rPr>
      </w:pPr>
    </w:p>
    <w:p w14:paraId="05E8E89B" w14:textId="77777777" w:rsidR="00873B19" w:rsidRPr="00C308BB" w:rsidRDefault="00873B19" w:rsidP="00131B02">
      <w:pPr>
        <w:widowControl/>
        <w:suppressAutoHyphens/>
        <w:spacing w:after="200" w:line="276" w:lineRule="auto"/>
        <w:jc w:val="center"/>
        <w:rPr>
          <w:rFonts w:ascii="Arial" w:eastAsia="Arial" w:hAnsi="Arial"/>
          <w:b/>
          <w:color w:val="auto"/>
          <w:sz w:val="32"/>
          <w:szCs w:val="22"/>
          <w:lang w:bidi="ar-SA"/>
        </w:rPr>
      </w:pPr>
    </w:p>
    <w:p w14:paraId="7B10A2BF" w14:textId="77777777" w:rsidR="00873B19" w:rsidRPr="00C308BB" w:rsidRDefault="00873B19" w:rsidP="00131B02">
      <w:pPr>
        <w:widowControl/>
        <w:suppressAutoHyphens/>
        <w:spacing w:after="200" w:line="276" w:lineRule="auto"/>
        <w:jc w:val="center"/>
        <w:rPr>
          <w:rFonts w:ascii="Arial" w:eastAsia="Arial" w:hAnsi="Arial"/>
          <w:b/>
          <w:color w:val="auto"/>
          <w:sz w:val="32"/>
          <w:szCs w:val="22"/>
          <w:lang w:bidi="ar-SA"/>
        </w:rPr>
      </w:pPr>
    </w:p>
    <w:p w14:paraId="163CA71D" w14:textId="4BC1021A" w:rsidR="00873B19" w:rsidRDefault="00873B19" w:rsidP="0095236D">
      <w:pPr>
        <w:widowControl/>
        <w:suppressAutoHyphens/>
        <w:spacing w:after="200" w:line="276" w:lineRule="auto"/>
        <w:rPr>
          <w:rFonts w:ascii="Arial" w:eastAsia="Arial" w:hAnsi="Arial"/>
          <w:b/>
          <w:color w:val="auto"/>
          <w:sz w:val="28"/>
          <w:szCs w:val="22"/>
        </w:rPr>
      </w:pPr>
      <w:r>
        <w:rPr>
          <w:rFonts w:ascii="Arial" w:hAnsi="Arial"/>
          <w:b/>
          <w:color w:val="auto"/>
          <w:sz w:val="28"/>
        </w:rPr>
        <w:t>Data: 10 de Março de 2022</w:t>
      </w:r>
    </w:p>
    <w:p w14:paraId="467A8593" w14:textId="1EA340E8" w:rsidR="00C656CA" w:rsidRDefault="00C656CA" w:rsidP="0095236D">
      <w:pPr>
        <w:widowControl/>
        <w:suppressAutoHyphens/>
        <w:spacing w:after="200" w:line="276" w:lineRule="auto"/>
        <w:rPr>
          <w:rFonts w:ascii="Arial" w:eastAsia="Arial" w:hAnsi="Arial"/>
          <w:b/>
          <w:color w:val="auto"/>
          <w:sz w:val="28"/>
          <w:szCs w:val="22"/>
          <w:lang w:val="en-GB" w:bidi="ar-SA"/>
        </w:rPr>
      </w:pPr>
    </w:p>
    <w:p w14:paraId="77FDD01B" w14:textId="77777777" w:rsidR="00C656CA" w:rsidRPr="0095236D" w:rsidRDefault="00C656CA" w:rsidP="0095236D">
      <w:pPr>
        <w:widowControl/>
        <w:suppressAutoHyphens/>
        <w:spacing w:after="200" w:line="276" w:lineRule="auto"/>
        <w:rPr>
          <w:rFonts w:ascii="Arial" w:eastAsia="Arial" w:hAnsi="Arial"/>
          <w:b/>
          <w:color w:val="auto"/>
          <w:sz w:val="28"/>
          <w:szCs w:val="22"/>
          <w:lang w:val="en-GB" w:bidi="ar-SA"/>
        </w:rPr>
        <w:sectPr w:rsidR="00C656CA" w:rsidRPr="0095236D" w:rsidSect="000377D8">
          <w:footerReference w:type="default" r:id="rId8"/>
          <w:pgSz w:w="11900" w:h="16840"/>
          <w:pgMar w:top="1436" w:right="1407" w:bottom="741" w:left="1397" w:header="1008" w:footer="3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noEndnote/>
          <w:docGrid w:linePitch="360"/>
        </w:sectPr>
      </w:pPr>
    </w:p>
    <w:p w14:paraId="0212D42D" w14:textId="2870FF90" w:rsidR="00525029" w:rsidRPr="000377D8" w:rsidRDefault="00525029" w:rsidP="000377D8">
      <w:pPr>
        <w:rPr>
          <w:rFonts w:ascii="Arial" w:hAnsi="Arial" w:cs="Arial"/>
          <w:b/>
          <w:bCs/>
        </w:rPr>
      </w:pPr>
    </w:p>
    <w:p w14:paraId="6754DD6F" w14:textId="77777777" w:rsidR="00290FA4" w:rsidRPr="0053281A" w:rsidRDefault="00290FA4" w:rsidP="00C308BB">
      <w:pPr>
        <w:pStyle w:val="Heading1"/>
        <w:keepNext w:val="0"/>
        <w:keepLines w:val="0"/>
        <w:numPr>
          <w:ilvl w:val="0"/>
          <w:numId w:val="18"/>
        </w:numPr>
        <w:suppressAutoHyphens/>
        <w:spacing w:before="0" w:line="240" w:lineRule="auto"/>
        <w:ind w:hanging="720"/>
        <w:jc w:val="both"/>
        <w:rPr>
          <w:rFonts w:cs="Arial"/>
          <w:sz w:val="24"/>
          <w:szCs w:val="24"/>
        </w:rPr>
      </w:pPr>
      <w:r>
        <w:rPr>
          <w:sz w:val="24"/>
        </w:rPr>
        <w:t>Nota introdutória e enquadramento histórico</w:t>
      </w:r>
    </w:p>
    <w:p w14:paraId="4AC51B77" w14:textId="77777777" w:rsidR="008D71E7" w:rsidRPr="00AB7D45" w:rsidRDefault="008D71E7" w:rsidP="008D71E7">
      <w:pPr>
        <w:rPr>
          <w:rFonts w:ascii="Arial" w:hAnsi="Arial" w:cs="Arial"/>
        </w:rPr>
      </w:pPr>
    </w:p>
    <w:p w14:paraId="06BB80C5" w14:textId="439EB8E7" w:rsidR="008D71E7" w:rsidRPr="00AB7D45" w:rsidRDefault="008D71E7" w:rsidP="00C308BB">
      <w:pPr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</w:rPr>
        <w:t>O Secretariado da SADC, em concertação com o Banco Mundial (BM), concebeu um conceito sobre o reforço das áreas prioritárias da SADC com vista ao desenvolvimento sustentável do sector energético regional e o aumento da assistência técnica (AT) transversal ao Secretariado e às Organizações Regionais da SADC, nomeadamente a Rede de Electricidade da África Austral (SAPP), a Associação Regional de Reguladores de Energia Eléctrica (RERA) e o Centro da SADC para as Energias Renováveis e Eficiência Energética (SACREEE), visando aumentar a sua capacidade.   Inscrito no quadro da execução do conceito, de modo particular no que tange à assistência técnica transversal, o Secretariado da SADC e a SAPP firmaram um Acordo de Cooperação sobre o Programa da Rede de Energia da África Austral, a fim de Acelerar os Projectos (Transformativos) Regionais de Energia (AREP), de modo a resolver a questão da prestação de assistência técnica ao Secretariado da SADC, delineando as funções e as responsabilidades, bem como os mecanismos de prestação de relatórios. O Acordo assinado deu origem ao recrutamento do Coordenador/Consultor de Transacção e do Técnico de Administração de Projectos, em Setembro de 2020, inserido no âmbito da assistência técnica para o reforço da capacidade do Secretariado da SADC em matéria de projectos de infra-estruturas energéticas.</w:t>
      </w:r>
    </w:p>
    <w:p w14:paraId="6247C58E" w14:textId="77777777" w:rsidR="008D71E7" w:rsidRPr="00AB7D45" w:rsidRDefault="008D71E7" w:rsidP="00C308BB">
      <w:pPr>
        <w:ind w:left="720"/>
        <w:jc w:val="both"/>
        <w:rPr>
          <w:rFonts w:ascii="Arial" w:hAnsi="Arial" w:cs="Arial"/>
        </w:rPr>
      </w:pPr>
    </w:p>
    <w:p w14:paraId="7672B711" w14:textId="5B374B6A" w:rsidR="008D71E7" w:rsidRPr="00AB7D45" w:rsidRDefault="008D71E7" w:rsidP="00C308BB">
      <w:pPr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O apoio técnico à SAPP-AREP da SADC, agora operacional no Secretariado da SADC, desde Setembro de 2020, em cooperação delegada com o Banco Mundial, é encarregue de prestar assistência técnica para a formulação de um quadro sustentável de preparação e financiamento de projectos regionais de infraestruturas energéticas desde a fase de preparação do ciclo dos projectos até à fase de construção, com prazos de funcionamento definidos.</w:t>
      </w:r>
    </w:p>
    <w:p w14:paraId="29E60941" w14:textId="77777777" w:rsidR="008D71E7" w:rsidRPr="00AB7D45" w:rsidRDefault="008D71E7" w:rsidP="00C308BB">
      <w:pPr>
        <w:ind w:left="720"/>
        <w:rPr>
          <w:rFonts w:ascii="Arial" w:hAnsi="Arial" w:cs="Arial"/>
        </w:rPr>
      </w:pPr>
    </w:p>
    <w:p w14:paraId="1C2DC239" w14:textId="52F148F0" w:rsidR="008D71E7" w:rsidRPr="00AB7D45" w:rsidRDefault="008D71E7" w:rsidP="00C308BB">
      <w:pPr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 Secretariado da SADC é o beneficiário das actividades constantes do Plano de Actividades a serem financiadas a partir dos proventos vindos do Programa da SAPP-AREP.  Para concretizar o êxito da execução do Programa, foram identificadas quatro (4) campos de actuação e dez (10) iniciativas.  </w:t>
      </w:r>
    </w:p>
    <w:p w14:paraId="3278D04A" w14:textId="1E33201B" w:rsidR="00F972FC" w:rsidRDefault="00F972FC" w:rsidP="001C5DFD">
      <w:pPr>
        <w:rPr>
          <w:rFonts w:ascii="Arial" w:hAnsi="Arial" w:cs="Arial"/>
          <w:b/>
          <w:bCs/>
        </w:rPr>
      </w:pPr>
    </w:p>
    <w:p w14:paraId="6F353C19" w14:textId="77777777" w:rsidR="00F972FC" w:rsidRPr="0053281A" w:rsidRDefault="00F972FC" w:rsidP="00C308BB">
      <w:pPr>
        <w:pStyle w:val="Heading1"/>
        <w:keepNext w:val="0"/>
        <w:keepLines w:val="0"/>
        <w:numPr>
          <w:ilvl w:val="0"/>
          <w:numId w:val="18"/>
        </w:numPr>
        <w:suppressAutoHyphens/>
        <w:spacing w:before="0" w:line="240" w:lineRule="auto"/>
        <w:ind w:hanging="720"/>
        <w:jc w:val="both"/>
        <w:rPr>
          <w:rFonts w:cs="Arial"/>
          <w:sz w:val="24"/>
          <w:szCs w:val="24"/>
        </w:rPr>
      </w:pPr>
      <w:r>
        <w:rPr>
          <w:sz w:val="24"/>
        </w:rPr>
        <w:t>Finalidade e âmbito da Missão</w:t>
      </w:r>
    </w:p>
    <w:p w14:paraId="684F7481" w14:textId="77777777" w:rsidR="00F972FC" w:rsidRPr="0053281A" w:rsidRDefault="00F972FC" w:rsidP="00C308BB">
      <w:pPr>
        <w:ind w:left="720" w:hanging="720"/>
        <w:rPr>
          <w:lang w:val="en-GB"/>
        </w:rPr>
      </w:pPr>
    </w:p>
    <w:p w14:paraId="4B356895" w14:textId="77777777" w:rsidR="00F972FC" w:rsidRPr="0053281A" w:rsidRDefault="00F972FC" w:rsidP="00C308BB">
      <w:pPr>
        <w:pStyle w:val="Heading2"/>
        <w:keepNext w:val="0"/>
        <w:keepLines w:val="0"/>
        <w:numPr>
          <w:ilvl w:val="1"/>
          <w:numId w:val="18"/>
        </w:numPr>
        <w:suppressAutoHyphens/>
        <w:spacing w:before="0" w:after="0" w:line="240" w:lineRule="auto"/>
        <w:ind w:left="720" w:hanging="720"/>
        <w:jc w:val="both"/>
        <w:rPr>
          <w:rFonts w:cs="Arial"/>
          <w:szCs w:val="24"/>
        </w:rPr>
      </w:pPr>
      <w:r>
        <w:t>Finalidade da Missão</w:t>
      </w:r>
    </w:p>
    <w:p w14:paraId="346A5B16" w14:textId="77777777" w:rsidR="00F972FC" w:rsidRPr="00AB7D45" w:rsidRDefault="00F972FC" w:rsidP="00C308BB">
      <w:pPr>
        <w:ind w:left="720" w:hanging="720"/>
        <w:rPr>
          <w:rFonts w:ascii="Arial" w:hAnsi="Arial" w:cs="Arial"/>
          <w:b/>
          <w:bCs/>
        </w:rPr>
      </w:pPr>
    </w:p>
    <w:p w14:paraId="62066898" w14:textId="67048DE4" w:rsidR="008D71E7" w:rsidRPr="00AB7D45" w:rsidRDefault="008D71E7" w:rsidP="00C308BB">
      <w:pPr>
        <w:ind w:left="7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principal finalidade da Missão é dar efeito aos resultados finais da 1.ª Reunião do Grupo de Trabalho de Electricidade (EWG) da SADC, realizada em Novembro de 2021, que deu azo a várias iniciativas apresentadas às reuniões dos Ministros da Energia, realizadas em Novembro-Dezembro de 2021.  Estes resultados finais passaram a constituir uma acta, pelo que devem ser postas em prática.  </w:t>
      </w:r>
    </w:p>
    <w:p w14:paraId="2AE780F6" w14:textId="77777777" w:rsidR="008D71E7" w:rsidRPr="00AB7D45" w:rsidRDefault="008D71E7" w:rsidP="008D71E7">
      <w:pPr>
        <w:jc w:val="both"/>
        <w:rPr>
          <w:rFonts w:ascii="Arial" w:hAnsi="Arial" w:cs="Arial"/>
          <w:lang w:eastAsia="fr-FR"/>
        </w:rPr>
      </w:pPr>
    </w:p>
    <w:p w14:paraId="7D4434DA" w14:textId="77777777" w:rsidR="00565C43" w:rsidRPr="00565C43" w:rsidRDefault="00565C43" w:rsidP="00C308BB">
      <w:pPr>
        <w:widowControl/>
        <w:numPr>
          <w:ilvl w:val="1"/>
          <w:numId w:val="18"/>
        </w:numPr>
        <w:suppressAutoHyphens/>
        <w:spacing w:after="200" w:line="276" w:lineRule="auto"/>
        <w:ind w:left="720" w:hanging="720"/>
        <w:jc w:val="both"/>
        <w:outlineLvl w:val="1"/>
        <w:rPr>
          <w:rFonts w:ascii="Arial" w:hAnsi="Arial" w:cs="Arial"/>
          <w:b/>
          <w:bCs/>
          <w:color w:val="auto"/>
        </w:rPr>
      </w:pPr>
      <w:r>
        <w:rPr>
          <w:rFonts w:ascii="Arial" w:hAnsi="Arial"/>
          <w:b/>
          <w:color w:val="auto"/>
        </w:rPr>
        <w:t>Principal objectivo</w:t>
      </w:r>
    </w:p>
    <w:p w14:paraId="79FA0398" w14:textId="77777777" w:rsidR="00511106" w:rsidRDefault="00565C43" w:rsidP="00C308BB">
      <w:pPr>
        <w:widowControl/>
        <w:suppressAutoHyphens/>
        <w:ind w:left="720"/>
        <w:jc w:val="both"/>
        <w:rPr>
          <w:rFonts w:ascii="Arial" w:eastAsia="Arial" w:hAnsi="Arial" w:cs="Arial"/>
          <w:color w:val="auto"/>
        </w:rPr>
      </w:pPr>
      <w:r>
        <w:rPr>
          <w:rFonts w:ascii="Arial" w:hAnsi="Arial"/>
          <w:color w:val="auto"/>
        </w:rPr>
        <w:t>O objectivo principal consiste em recrutar um Consultor Jurídico, que se encarregará do seguinte:</w:t>
      </w:r>
    </w:p>
    <w:p w14:paraId="6511D38A" w14:textId="29976728" w:rsidR="00511106" w:rsidRDefault="00997E86" w:rsidP="00C308BB">
      <w:pPr>
        <w:pStyle w:val="ListParagraph"/>
        <w:numPr>
          <w:ilvl w:val="0"/>
          <w:numId w:val="23"/>
        </w:numPr>
        <w:suppressAutoHyphens/>
        <w:ind w:left="1440"/>
        <w:jc w:val="both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>conceber um Modelo de Memorando de Entendimento Intergovernamental (IGMOU) para projectos de interligação de transmissão regional que abarque todas as secções e artigos que permitam a preparação e execução pontuais de projectos de energia regionais;</w:t>
      </w:r>
    </w:p>
    <w:p w14:paraId="3C4D47E8" w14:textId="77777777" w:rsidR="00C308BB" w:rsidRPr="00C308BB" w:rsidRDefault="00C308BB" w:rsidP="00C308BB">
      <w:pPr>
        <w:pStyle w:val="ListParagraph"/>
        <w:suppressAutoHyphens/>
        <w:ind w:left="1440"/>
        <w:jc w:val="both"/>
        <w:rPr>
          <w:rFonts w:ascii="Arial" w:eastAsia="Arial" w:hAnsi="Arial" w:cs="Arial"/>
        </w:rPr>
      </w:pPr>
    </w:p>
    <w:p w14:paraId="415CA0F1" w14:textId="1F452FF3" w:rsidR="00565C43" w:rsidRDefault="00FC43BA" w:rsidP="00C308BB">
      <w:pPr>
        <w:pStyle w:val="ListParagraph"/>
        <w:numPr>
          <w:ilvl w:val="0"/>
          <w:numId w:val="23"/>
        </w:numPr>
        <w:suppressAutoHyphens/>
        <w:ind w:left="1440"/>
        <w:jc w:val="both"/>
        <w:rPr>
          <w:rFonts w:ascii="Arial" w:eastAsia="Arial" w:hAnsi="Arial" w:cs="Arial"/>
        </w:rPr>
      </w:pPr>
      <w:r>
        <w:rPr>
          <w:rFonts w:ascii="Arial" w:hAnsi="Arial"/>
        </w:rPr>
        <w:t>analisar e avaliar a eficácia e a eficiência das estruturas de governação prescritas, tal como consagradas no IGMOU, e produzir as respectivas recomendações;</w:t>
      </w:r>
    </w:p>
    <w:p w14:paraId="6B6B219F" w14:textId="77777777" w:rsidR="00C308BB" w:rsidRPr="00C308BB" w:rsidRDefault="00C308BB" w:rsidP="00C308BB">
      <w:pPr>
        <w:pStyle w:val="ListParagraph"/>
        <w:suppressAutoHyphens/>
        <w:ind w:left="1440"/>
        <w:jc w:val="both"/>
        <w:rPr>
          <w:rFonts w:ascii="Arial" w:eastAsia="Arial" w:hAnsi="Arial" w:cs="Arial"/>
        </w:rPr>
      </w:pPr>
    </w:p>
    <w:p w14:paraId="3A4B3AA9" w14:textId="7BCC65D2" w:rsidR="00FC43BA" w:rsidRPr="003F4597" w:rsidRDefault="00FC43BA" w:rsidP="00C308BB">
      <w:pPr>
        <w:pStyle w:val="ListParagraph"/>
        <w:numPr>
          <w:ilvl w:val="0"/>
          <w:numId w:val="23"/>
        </w:numPr>
        <w:suppressAutoHyphens/>
        <w:ind w:left="1440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apresentar o Modelo de IGMOU concebido e a recomendação da estrutura de governação às estruturas da SADC através de workshops e/ou reuniões. </w:t>
      </w:r>
    </w:p>
    <w:p w14:paraId="77E8CE53" w14:textId="39404DD9" w:rsidR="00565C43" w:rsidRPr="00C308BB" w:rsidRDefault="00565C43" w:rsidP="00565C43">
      <w:pPr>
        <w:widowControl/>
        <w:suppressAutoHyphens/>
        <w:spacing w:after="200" w:line="276" w:lineRule="auto"/>
        <w:contextualSpacing/>
        <w:jc w:val="both"/>
        <w:rPr>
          <w:rFonts w:ascii="Arial" w:eastAsia="Arial" w:hAnsi="Arial" w:cs="Arial"/>
          <w:color w:val="auto"/>
          <w:lang w:bidi="ar-SA"/>
        </w:rPr>
      </w:pPr>
    </w:p>
    <w:p w14:paraId="2623BBDC" w14:textId="5CA646F2" w:rsidR="00565C43" w:rsidRPr="00AB7D45" w:rsidRDefault="00B038E3" w:rsidP="00B038E3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 </w:t>
      </w:r>
      <w:r>
        <w:rPr>
          <w:rFonts w:ascii="Arial" w:hAnsi="Arial"/>
          <w:b/>
        </w:rPr>
        <w:t>Anexo 1</w:t>
      </w:r>
      <w:r>
        <w:rPr>
          <w:rFonts w:ascii="Arial" w:hAnsi="Arial"/>
        </w:rPr>
        <w:t xml:space="preserve"> apresenta o Roteiro das Iniciativas.  </w:t>
      </w:r>
    </w:p>
    <w:p w14:paraId="72F755DF" w14:textId="77777777" w:rsidR="00565C43" w:rsidRPr="00C308BB" w:rsidRDefault="00565C43" w:rsidP="00565C43">
      <w:pPr>
        <w:widowControl/>
        <w:suppressAutoHyphens/>
        <w:spacing w:after="200" w:line="276" w:lineRule="auto"/>
        <w:contextualSpacing/>
        <w:jc w:val="both"/>
        <w:rPr>
          <w:rFonts w:ascii="Arial" w:eastAsia="Arial" w:hAnsi="Arial" w:cs="Arial"/>
          <w:color w:val="auto"/>
          <w:lang w:bidi="ar-SA"/>
        </w:rPr>
      </w:pPr>
    </w:p>
    <w:p w14:paraId="30485C1B" w14:textId="098E004D" w:rsidR="002D4EBC" w:rsidRPr="002D4EBC" w:rsidRDefault="002D4EBC" w:rsidP="00C308BB">
      <w:pPr>
        <w:widowControl/>
        <w:numPr>
          <w:ilvl w:val="1"/>
          <w:numId w:val="18"/>
        </w:numPr>
        <w:suppressAutoHyphens/>
        <w:spacing w:after="200" w:line="276" w:lineRule="auto"/>
        <w:ind w:left="1080" w:hanging="1080"/>
        <w:jc w:val="both"/>
        <w:outlineLvl w:val="1"/>
        <w:rPr>
          <w:rFonts w:ascii="Arial" w:hAnsi="Arial" w:cs="Arial"/>
          <w:b/>
          <w:bCs/>
          <w:color w:val="auto"/>
        </w:rPr>
      </w:pPr>
      <w:bookmarkStart w:id="0" w:name="_Toc439858824"/>
      <w:r>
        <w:rPr>
          <w:rFonts w:ascii="Arial" w:hAnsi="Arial"/>
          <w:b/>
          <w:color w:val="auto"/>
        </w:rPr>
        <w:t xml:space="preserve">Tarefas </w:t>
      </w:r>
      <w:bookmarkEnd w:id="0"/>
    </w:p>
    <w:p w14:paraId="630257A4" w14:textId="77777777" w:rsidR="002D4EBC" w:rsidRPr="002D4EBC" w:rsidRDefault="002D4EBC" w:rsidP="00C308BB">
      <w:pPr>
        <w:widowControl/>
        <w:suppressAutoHyphens/>
        <w:ind w:left="1080"/>
        <w:jc w:val="both"/>
        <w:rPr>
          <w:rFonts w:ascii="Arial" w:eastAsia="Arial" w:hAnsi="Arial" w:cs="Arial"/>
          <w:color w:val="auto"/>
        </w:rPr>
      </w:pPr>
      <w:r>
        <w:rPr>
          <w:rFonts w:ascii="Arial" w:hAnsi="Arial"/>
          <w:color w:val="auto"/>
        </w:rPr>
        <w:t xml:space="preserve">O Consultor levará a cabo as seguintes tarefas:  </w:t>
      </w:r>
    </w:p>
    <w:p w14:paraId="4E48D564" w14:textId="77777777" w:rsidR="00D53528" w:rsidRPr="002D4EBC" w:rsidRDefault="00D53528" w:rsidP="00C308BB">
      <w:pPr>
        <w:ind w:left="1080" w:hanging="1080"/>
        <w:rPr>
          <w:rFonts w:ascii="Arial" w:hAnsi="Arial" w:cs="Arial"/>
          <w:b/>
          <w:bCs/>
        </w:rPr>
      </w:pPr>
    </w:p>
    <w:p w14:paraId="215F1AC1" w14:textId="79E861F5" w:rsidR="004B4B9D" w:rsidRPr="00AB7D45" w:rsidRDefault="00C308BB" w:rsidP="00C308BB">
      <w:pPr>
        <w:widowControl/>
        <w:numPr>
          <w:ilvl w:val="2"/>
          <w:numId w:val="18"/>
        </w:numPr>
        <w:suppressAutoHyphens/>
        <w:spacing w:after="200" w:line="276" w:lineRule="auto"/>
        <w:ind w:left="1080" w:hanging="1080"/>
        <w:jc w:val="both"/>
        <w:outlineLvl w:val="1"/>
        <w:rPr>
          <w:rFonts w:ascii="Arial" w:hAnsi="Arial" w:cs="Arial"/>
        </w:rPr>
      </w:pPr>
      <w:r>
        <w:rPr>
          <w:rFonts w:ascii="Arial" w:hAnsi="Arial"/>
        </w:rPr>
        <w:t>A</w:t>
      </w:r>
      <w:r w:rsidR="00AE2010">
        <w:rPr>
          <w:rFonts w:ascii="Arial" w:hAnsi="Arial"/>
        </w:rPr>
        <w:t>nalisar e avaliar a eficácia e a eficiência das estruturas de governação prescritas, tal como consagradas no IGMOU, e produzir as respectivas;  destas, deve ser fornecido o seguinte:</w:t>
      </w:r>
      <w:r w:rsidR="00AE2010">
        <w:rPr>
          <w:rFonts w:ascii="Arial" w:hAnsi="Arial"/>
        </w:rPr>
        <w:tab/>
      </w:r>
    </w:p>
    <w:p w14:paraId="77EA3472" w14:textId="041A46B7" w:rsidR="00AE2010" w:rsidRPr="004947D0" w:rsidRDefault="00C308BB" w:rsidP="00C308BB">
      <w:pPr>
        <w:pStyle w:val="Bodytext10"/>
        <w:numPr>
          <w:ilvl w:val="0"/>
          <w:numId w:val="10"/>
        </w:numPr>
        <w:shd w:val="clear" w:color="auto" w:fill="auto"/>
        <w:spacing w:after="0"/>
        <w:ind w:left="180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efectuar as </w:t>
      </w:r>
      <w:r w:rsidR="00050296">
        <w:rPr>
          <w:rFonts w:ascii="Arial" w:hAnsi="Arial"/>
          <w:sz w:val="24"/>
        </w:rPr>
        <w:t>devidas diligências sobre os 17 Projectos de Energia Regionais, trabalhando em estreita colaboração com a Unidade Consultiva de Projectos da SAPP (PAU) e a Equipa de Energia da SADC);</w:t>
      </w:r>
    </w:p>
    <w:p w14:paraId="46068D26" w14:textId="77777777" w:rsidR="00C308BB" w:rsidRPr="00C308BB" w:rsidRDefault="00C308BB" w:rsidP="00C308BB">
      <w:pPr>
        <w:pStyle w:val="Bodytext10"/>
        <w:shd w:val="clear" w:color="auto" w:fill="auto"/>
        <w:spacing w:after="0"/>
        <w:ind w:left="1800"/>
        <w:jc w:val="both"/>
        <w:rPr>
          <w:rFonts w:ascii="Arial" w:hAnsi="Arial" w:cs="Arial"/>
          <w:sz w:val="24"/>
          <w:szCs w:val="24"/>
        </w:rPr>
      </w:pPr>
    </w:p>
    <w:p w14:paraId="55222C71" w14:textId="1B87DBC3" w:rsidR="004B4B9D" w:rsidRPr="00AB7D45" w:rsidRDefault="00CA6CCB" w:rsidP="00C308BB">
      <w:pPr>
        <w:pStyle w:val="Bodytext10"/>
        <w:numPr>
          <w:ilvl w:val="0"/>
          <w:numId w:val="10"/>
        </w:numPr>
        <w:shd w:val="clear" w:color="auto" w:fill="auto"/>
        <w:spacing w:after="0"/>
        <w:ind w:left="180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prestar conselhos sobre os projectos dotados de IGMOU válidos (executados por todas as partes e ainda dentro dos prazos estabelecidos), bem como os IGMOU cuja validade está prestes a expirar;</w:t>
      </w:r>
    </w:p>
    <w:p w14:paraId="35DB9E73" w14:textId="77777777" w:rsidR="00C308BB" w:rsidRPr="00C308BB" w:rsidRDefault="00C308BB" w:rsidP="00C308BB">
      <w:pPr>
        <w:pStyle w:val="Bodytext10"/>
        <w:shd w:val="clear" w:color="auto" w:fill="auto"/>
        <w:spacing w:after="0"/>
        <w:ind w:left="1800"/>
        <w:jc w:val="both"/>
        <w:rPr>
          <w:rFonts w:ascii="Arial" w:hAnsi="Arial" w:cs="Arial"/>
          <w:sz w:val="24"/>
          <w:szCs w:val="24"/>
        </w:rPr>
      </w:pPr>
    </w:p>
    <w:p w14:paraId="7E95B2CA" w14:textId="0461C552" w:rsidR="004B4B9D" w:rsidRPr="00AB7D45" w:rsidRDefault="004B4B9D" w:rsidP="00C308BB">
      <w:pPr>
        <w:pStyle w:val="Bodytext10"/>
        <w:numPr>
          <w:ilvl w:val="0"/>
          <w:numId w:val="10"/>
        </w:numPr>
        <w:shd w:val="clear" w:color="auto" w:fill="auto"/>
        <w:spacing w:after="0"/>
        <w:ind w:left="180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projectos desprovidos de IGMOU e que carecem de IGMOU imediatamente;</w:t>
      </w:r>
    </w:p>
    <w:p w14:paraId="3B64CCA6" w14:textId="77777777" w:rsidR="00C308BB" w:rsidRPr="00C308BB" w:rsidRDefault="00C308BB" w:rsidP="00C308BB">
      <w:pPr>
        <w:pStyle w:val="Bodytext10"/>
        <w:shd w:val="clear" w:color="auto" w:fill="auto"/>
        <w:spacing w:after="0"/>
        <w:ind w:left="1800"/>
        <w:jc w:val="both"/>
        <w:rPr>
          <w:rFonts w:ascii="Arial" w:hAnsi="Arial" w:cs="Arial"/>
          <w:sz w:val="24"/>
          <w:szCs w:val="24"/>
        </w:rPr>
      </w:pPr>
    </w:p>
    <w:p w14:paraId="4CAE10BB" w14:textId="455A7C71" w:rsidR="008973E1" w:rsidRDefault="008973E1" w:rsidP="00C308BB">
      <w:pPr>
        <w:pStyle w:val="Bodytext10"/>
        <w:numPr>
          <w:ilvl w:val="0"/>
          <w:numId w:val="10"/>
        </w:numPr>
        <w:shd w:val="clear" w:color="auto" w:fill="auto"/>
        <w:spacing w:after="0"/>
        <w:ind w:left="180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rever os IGMOU e estabelecer o que requisitos as estruturas de governação (Comissão Conjunta e Comité Ministerial, etc.) devem ser estabelecidos e implementados;  </w:t>
      </w:r>
    </w:p>
    <w:p w14:paraId="64741CAA" w14:textId="77777777" w:rsidR="00C308BB" w:rsidRPr="00C308BB" w:rsidRDefault="00C308BB" w:rsidP="00C308BB">
      <w:pPr>
        <w:pStyle w:val="Bodytext10"/>
        <w:shd w:val="clear" w:color="auto" w:fill="auto"/>
        <w:spacing w:after="0"/>
        <w:ind w:left="1800"/>
        <w:jc w:val="both"/>
        <w:rPr>
          <w:rFonts w:ascii="Arial" w:hAnsi="Arial" w:cs="Arial"/>
          <w:sz w:val="24"/>
          <w:szCs w:val="24"/>
        </w:rPr>
      </w:pPr>
    </w:p>
    <w:p w14:paraId="3D85B81F" w14:textId="792390BA" w:rsidR="009226DB" w:rsidRPr="00AB7D45" w:rsidRDefault="009226DB" w:rsidP="00C308BB">
      <w:pPr>
        <w:pStyle w:val="Bodytext10"/>
        <w:numPr>
          <w:ilvl w:val="0"/>
          <w:numId w:val="10"/>
        </w:numPr>
        <w:shd w:val="clear" w:color="auto" w:fill="auto"/>
        <w:spacing w:after="0"/>
        <w:ind w:left="180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conceber um receptáculo de todos os IGMOU;</w:t>
      </w:r>
    </w:p>
    <w:p w14:paraId="26E9C338" w14:textId="77777777" w:rsidR="00C308BB" w:rsidRPr="00C308BB" w:rsidRDefault="00C308BB" w:rsidP="00C308BB">
      <w:pPr>
        <w:pStyle w:val="Bodytext10"/>
        <w:shd w:val="clear" w:color="auto" w:fill="auto"/>
        <w:spacing w:after="0"/>
        <w:ind w:left="1800"/>
        <w:jc w:val="both"/>
        <w:rPr>
          <w:rFonts w:ascii="Arial" w:hAnsi="Arial" w:cs="Arial"/>
          <w:sz w:val="24"/>
          <w:szCs w:val="24"/>
        </w:rPr>
      </w:pPr>
    </w:p>
    <w:p w14:paraId="6946BC82" w14:textId="50B8F22B" w:rsidR="008973E1" w:rsidRPr="00AB7D45" w:rsidRDefault="008973E1" w:rsidP="00C308BB">
      <w:pPr>
        <w:pStyle w:val="Bodytext10"/>
        <w:numPr>
          <w:ilvl w:val="0"/>
          <w:numId w:val="10"/>
        </w:numPr>
        <w:shd w:val="clear" w:color="auto" w:fill="auto"/>
        <w:spacing w:after="0"/>
        <w:ind w:left="180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trabalhar em estreita colaboração com as equipas da PAU da SAPP e de Energia da SADC, para apurar os projectos em torno dos quais gostariam que as estruturas de Governação prescritas fossem estabelecidas imediatamente</w:t>
      </w:r>
      <w:r w:rsidR="00C308BB">
        <w:rPr>
          <w:rFonts w:ascii="Arial" w:hAnsi="Arial"/>
          <w:sz w:val="24"/>
        </w:rPr>
        <w:t>.</w:t>
      </w:r>
    </w:p>
    <w:p w14:paraId="2EED181E" w14:textId="3BA85FC5" w:rsidR="004B4B9D" w:rsidRPr="00AB7D45" w:rsidRDefault="00BC0AD6" w:rsidP="004B4B9D">
      <w:pPr>
        <w:pStyle w:val="Bodytext10"/>
        <w:shd w:val="clear" w:color="auto" w:fill="auto"/>
        <w:tabs>
          <w:tab w:val="left" w:pos="1098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                    </w:t>
      </w:r>
    </w:p>
    <w:p w14:paraId="5C29F108" w14:textId="77777777" w:rsidR="00525029" w:rsidRPr="00AB7D45" w:rsidRDefault="00525029">
      <w:pPr>
        <w:spacing w:line="1" w:lineRule="exact"/>
        <w:rPr>
          <w:rFonts w:ascii="Arial" w:hAnsi="Arial" w:cs="Arial"/>
        </w:rPr>
      </w:pPr>
    </w:p>
    <w:p w14:paraId="08F42FF9" w14:textId="7BD02D02" w:rsidR="00BC0AD6" w:rsidRPr="00AB7D45" w:rsidRDefault="00C308BB" w:rsidP="00C308BB">
      <w:pPr>
        <w:widowControl/>
        <w:numPr>
          <w:ilvl w:val="2"/>
          <w:numId w:val="18"/>
        </w:numPr>
        <w:suppressAutoHyphens/>
        <w:spacing w:after="200" w:line="276" w:lineRule="auto"/>
        <w:ind w:left="1080" w:hanging="1080"/>
        <w:jc w:val="both"/>
        <w:outlineLvl w:val="1"/>
        <w:rPr>
          <w:rFonts w:ascii="Arial" w:hAnsi="Arial" w:cs="Arial"/>
        </w:rPr>
      </w:pPr>
      <w:r>
        <w:rPr>
          <w:rFonts w:ascii="Arial" w:hAnsi="Arial"/>
        </w:rPr>
        <w:lastRenderedPageBreak/>
        <w:t>R</w:t>
      </w:r>
      <w:r w:rsidR="00997E86">
        <w:rPr>
          <w:rFonts w:ascii="Arial" w:hAnsi="Arial"/>
        </w:rPr>
        <w:t>ever o actual projecto de documento do IGMOU relativo ao Projecto de Transmissão do Inga.  O projecto do Inga 3, que envolve o Botswana, a RDC, a África do Sul, a Zâmbia e o Zimbabwe, tem sido objecto de debates ao longo dos últimos dez (10) anos.</w:t>
      </w:r>
    </w:p>
    <w:p w14:paraId="5887BFB0" w14:textId="607E29DD" w:rsidR="0080658E" w:rsidRPr="00AB7D45" w:rsidRDefault="00C308BB" w:rsidP="00C308BB">
      <w:pPr>
        <w:widowControl/>
        <w:numPr>
          <w:ilvl w:val="2"/>
          <w:numId w:val="18"/>
        </w:numPr>
        <w:suppressAutoHyphens/>
        <w:spacing w:after="200" w:line="276" w:lineRule="auto"/>
        <w:ind w:left="1080" w:hanging="1080"/>
        <w:jc w:val="both"/>
        <w:outlineLvl w:val="1"/>
        <w:rPr>
          <w:rFonts w:ascii="Arial" w:hAnsi="Arial" w:cs="Arial"/>
        </w:rPr>
      </w:pPr>
      <w:r>
        <w:rPr>
          <w:rFonts w:ascii="Arial" w:hAnsi="Arial"/>
        </w:rPr>
        <w:t>C</w:t>
      </w:r>
      <w:r w:rsidR="00997E86">
        <w:rPr>
          <w:rFonts w:ascii="Arial" w:hAnsi="Arial"/>
        </w:rPr>
        <w:t xml:space="preserve">onceber uma lista de verificação que acompanhe todos os IGMOU, abarcando a estrutura geral e o quadro de todos os IGMOU da SADC e para destacar questões inerentes à </w:t>
      </w:r>
    </w:p>
    <w:p w14:paraId="17FCBE66" w14:textId="35C510B1" w:rsidR="0080658E" w:rsidRPr="00C308BB" w:rsidRDefault="0080658E" w:rsidP="00C308BB">
      <w:pPr>
        <w:pStyle w:val="Bodytext10"/>
        <w:numPr>
          <w:ilvl w:val="0"/>
          <w:numId w:val="16"/>
        </w:numPr>
        <w:shd w:val="clear" w:color="auto" w:fill="auto"/>
        <w:spacing w:after="0"/>
        <w:ind w:left="180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isenção de impostos a favor dos projectivos financiados por subvenções e à </w:t>
      </w:r>
      <w:r w:rsidRPr="00C308BB">
        <w:rPr>
          <w:rFonts w:ascii="Arial" w:hAnsi="Arial"/>
          <w:sz w:val="24"/>
        </w:rPr>
        <w:t xml:space="preserve">validade do IGMOU para fins de negociação entre os Estados-Membros da SADC; </w:t>
      </w:r>
    </w:p>
    <w:p w14:paraId="75CD7F60" w14:textId="77777777" w:rsidR="00C308BB" w:rsidRPr="00C308BB" w:rsidRDefault="00C308BB" w:rsidP="00C308BB">
      <w:pPr>
        <w:pStyle w:val="Bodytext10"/>
        <w:shd w:val="clear" w:color="auto" w:fill="auto"/>
        <w:spacing w:after="0"/>
        <w:ind w:left="1800"/>
        <w:jc w:val="both"/>
        <w:rPr>
          <w:rFonts w:ascii="Arial" w:hAnsi="Arial" w:cs="Arial"/>
          <w:sz w:val="24"/>
          <w:szCs w:val="24"/>
        </w:rPr>
      </w:pPr>
    </w:p>
    <w:p w14:paraId="4FDA59FE" w14:textId="641E3469" w:rsidR="0080658E" w:rsidRDefault="00441C93" w:rsidP="00C308BB">
      <w:pPr>
        <w:pStyle w:val="Bodytext10"/>
        <w:numPr>
          <w:ilvl w:val="0"/>
          <w:numId w:val="16"/>
        </w:numPr>
        <w:shd w:val="clear" w:color="auto" w:fill="auto"/>
        <w:spacing w:after="0"/>
        <w:ind w:left="180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compromisso do Estado-Membro com o projecto de Energia Regional e custos punitivos associados, tais como o reembolso das subvenções em caso de desistência do projecto, durante a fase de concepção, do Estado-Membro e da agência de serviços de utilidade pública;</w:t>
      </w:r>
    </w:p>
    <w:p w14:paraId="7A0A2802" w14:textId="77777777" w:rsidR="00C308BB" w:rsidRPr="00C308BB" w:rsidRDefault="00C308BB" w:rsidP="00C308BB">
      <w:pPr>
        <w:pStyle w:val="Bodytext10"/>
        <w:shd w:val="clear" w:color="auto" w:fill="auto"/>
        <w:spacing w:after="0"/>
        <w:ind w:left="1800"/>
        <w:jc w:val="both"/>
        <w:rPr>
          <w:rFonts w:ascii="Arial" w:hAnsi="Arial" w:cs="Arial"/>
          <w:sz w:val="24"/>
          <w:szCs w:val="24"/>
        </w:rPr>
      </w:pPr>
    </w:p>
    <w:p w14:paraId="1C039C52" w14:textId="679C80E8" w:rsidR="00F62B59" w:rsidRDefault="00F62B59" w:rsidP="00C308BB">
      <w:pPr>
        <w:pStyle w:val="Bodytext10"/>
        <w:numPr>
          <w:ilvl w:val="0"/>
          <w:numId w:val="16"/>
        </w:numPr>
        <w:shd w:val="clear" w:color="auto" w:fill="auto"/>
        <w:spacing w:after="0"/>
        <w:ind w:left="180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ausência de contributos de capital próprio por parte dos patrocinadores e das agências de utilidade pública;</w:t>
      </w:r>
    </w:p>
    <w:p w14:paraId="1072AFEF" w14:textId="77777777" w:rsidR="00C308BB" w:rsidRPr="00C308BB" w:rsidRDefault="00C308BB" w:rsidP="00C308BB">
      <w:pPr>
        <w:pStyle w:val="Bodytext10"/>
        <w:shd w:val="clear" w:color="auto" w:fill="auto"/>
        <w:spacing w:after="0"/>
        <w:ind w:left="1800"/>
        <w:jc w:val="both"/>
        <w:rPr>
          <w:rFonts w:ascii="Arial" w:hAnsi="Arial" w:cs="Arial"/>
          <w:sz w:val="24"/>
          <w:szCs w:val="24"/>
        </w:rPr>
      </w:pPr>
    </w:p>
    <w:p w14:paraId="03FF0315" w14:textId="72ADCBDC" w:rsidR="00F62B59" w:rsidRPr="00AB7D45" w:rsidRDefault="00F62B59" w:rsidP="00C308BB">
      <w:pPr>
        <w:pStyle w:val="Bodytext10"/>
        <w:numPr>
          <w:ilvl w:val="0"/>
          <w:numId w:val="16"/>
        </w:numPr>
        <w:shd w:val="clear" w:color="auto" w:fill="auto"/>
        <w:spacing w:after="0"/>
        <w:ind w:left="180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afectação de custos administrativos do Coordenador do Projecto;</w:t>
      </w:r>
    </w:p>
    <w:p w14:paraId="57941F5D" w14:textId="77777777" w:rsidR="00C308BB" w:rsidRPr="00C308BB" w:rsidRDefault="00C308BB" w:rsidP="00C308BB">
      <w:pPr>
        <w:pStyle w:val="Bodytext10"/>
        <w:shd w:val="clear" w:color="auto" w:fill="auto"/>
        <w:spacing w:after="0"/>
        <w:ind w:left="1800"/>
        <w:jc w:val="both"/>
        <w:rPr>
          <w:rFonts w:ascii="Arial" w:hAnsi="Arial" w:cs="Arial"/>
          <w:sz w:val="24"/>
          <w:szCs w:val="24"/>
        </w:rPr>
      </w:pPr>
    </w:p>
    <w:p w14:paraId="794F5775" w14:textId="1AD424CA" w:rsidR="00441C93" w:rsidRPr="00FD622A" w:rsidRDefault="00FD622A" w:rsidP="00C308BB">
      <w:pPr>
        <w:pStyle w:val="Bodytext10"/>
        <w:numPr>
          <w:ilvl w:val="0"/>
          <w:numId w:val="16"/>
        </w:numPr>
        <w:shd w:val="clear" w:color="auto" w:fill="auto"/>
        <w:spacing w:after="0"/>
        <w:ind w:left="180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outros elementos a serem debatidos e objecto de acordo. </w:t>
      </w:r>
    </w:p>
    <w:p w14:paraId="63881FE5" w14:textId="77777777" w:rsidR="00FD622A" w:rsidRDefault="00FD622A" w:rsidP="0080658E">
      <w:pPr>
        <w:pStyle w:val="Bodytext10"/>
        <w:shd w:val="clear" w:color="auto" w:fill="auto"/>
        <w:tabs>
          <w:tab w:val="left" w:pos="1098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7237048" w14:textId="30A53C9A" w:rsidR="00004161" w:rsidRDefault="00C308BB" w:rsidP="00C308BB">
      <w:pPr>
        <w:widowControl/>
        <w:suppressAutoHyphens/>
        <w:spacing w:after="200" w:line="276" w:lineRule="auto"/>
        <w:ind w:left="1080"/>
        <w:jc w:val="both"/>
        <w:outlineLvl w:val="1"/>
        <w:rPr>
          <w:b/>
          <w:bCs/>
        </w:rPr>
      </w:pPr>
      <w:r>
        <w:rPr>
          <w:rFonts w:ascii="Arial" w:hAnsi="Arial"/>
        </w:rPr>
        <w:t>A</w:t>
      </w:r>
      <w:r w:rsidR="00B432B5">
        <w:rPr>
          <w:rFonts w:ascii="Arial" w:hAnsi="Arial"/>
        </w:rPr>
        <w:t>presentar o Modelo de IGMOU concebido e a recomendação da estrutura de governação às estruturas da SADC através de workshops e/ou reuniões.</w:t>
      </w:r>
    </w:p>
    <w:p w14:paraId="6CFCD5C3" w14:textId="4E7AE8D1" w:rsidR="0038661C" w:rsidRPr="0038661C" w:rsidRDefault="0038661C" w:rsidP="00C308BB">
      <w:pPr>
        <w:widowControl/>
        <w:numPr>
          <w:ilvl w:val="0"/>
          <w:numId w:val="18"/>
        </w:numPr>
        <w:suppressAutoHyphens/>
        <w:spacing w:after="200" w:line="276" w:lineRule="auto"/>
        <w:ind w:hanging="720"/>
        <w:jc w:val="both"/>
        <w:outlineLvl w:val="0"/>
        <w:rPr>
          <w:rFonts w:ascii="Arial" w:hAnsi="Arial" w:cs="Arial"/>
          <w:b/>
          <w:bCs/>
          <w:color w:val="auto"/>
        </w:rPr>
      </w:pPr>
      <w:bookmarkStart w:id="1" w:name="_Toc439858829"/>
      <w:r>
        <w:rPr>
          <w:rFonts w:ascii="Arial" w:hAnsi="Arial"/>
          <w:b/>
          <w:color w:val="auto"/>
        </w:rPr>
        <w:t>Resultados tangíveis</w:t>
      </w:r>
      <w:bookmarkEnd w:id="1"/>
    </w:p>
    <w:p w14:paraId="3AA18CC8" w14:textId="21834575" w:rsidR="0038661C" w:rsidRDefault="0038661C" w:rsidP="00C308BB">
      <w:pPr>
        <w:widowControl/>
        <w:suppressAutoHyphens/>
        <w:ind w:left="1374" w:hanging="654"/>
        <w:jc w:val="both"/>
        <w:outlineLvl w:val="2"/>
        <w:rPr>
          <w:rFonts w:ascii="Arial" w:hAnsi="Arial" w:cs="Arial"/>
          <w:bCs/>
          <w:color w:val="auto"/>
        </w:rPr>
      </w:pPr>
      <w:r>
        <w:rPr>
          <w:rFonts w:ascii="Arial" w:hAnsi="Arial"/>
          <w:color w:val="auto"/>
        </w:rPr>
        <w:t>O Consultor deve apresentar os seguintes resultados tangíveis:</w:t>
      </w:r>
    </w:p>
    <w:p w14:paraId="440C5333" w14:textId="77777777" w:rsidR="0038661C" w:rsidRPr="00C308BB" w:rsidRDefault="0038661C" w:rsidP="0038661C">
      <w:pPr>
        <w:widowControl/>
        <w:suppressAutoHyphens/>
        <w:ind w:left="720" w:hanging="654"/>
        <w:jc w:val="both"/>
        <w:outlineLvl w:val="2"/>
        <w:rPr>
          <w:rFonts w:ascii="Arial" w:hAnsi="Arial" w:cs="Arial"/>
          <w:bCs/>
          <w:color w:val="auto"/>
          <w:lang w:bidi="ar-SA"/>
        </w:rPr>
      </w:pPr>
    </w:p>
    <w:p w14:paraId="28E7555F" w14:textId="4BD76F2D" w:rsidR="0038661C" w:rsidRPr="0038661C" w:rsidRDefault="003B11B4" w:rsidP="00C308BB">
      <w:pPr>
        <w:widowControl/>
        <w:numPr>
          <w:ilvl w:val="0"/>
          <w:numId w:val="21"/>
        </w:numPr>
        <w:suppressAutoHyphens/>
        <w:spacing w:after="200"/>
        <w:ind w:left="1440" w:hanging="720"/>
        <w:jc w:val="both"/>
        <w:outlineLvl w:val="2"/>
        <w:rPr>
          <w:rFonts w:ascii="Arial" w:hAnsi="Arial" w:cs="Arial"/>
          <w:bCs/>
          <w:color w:val="auto"/>
        </w:rPr>
      </w:pPr>
      <w:r>
        <w:rPr>
          <w:rFonts w:ascii="Arial" w:hAnsi="Arial"/>
          <w:color w:val="auto"/>
        </w:rPr>
        <w:t>Relatório inicial;</w:t>
      </w:r>
    </w:p>
    <w:p w14:paraId="176BC009" w14:textId="7F2799F5" w:rsidR="0038661C" w:rsidRPr="0038661C" w:rsidRDefault="003B11B4" w:rsidP="00C308BB">
      <w:pPr>
        <w:widowControl/>
        <w:numPr>
          <w:ilvl w:val="0"/>
          <w:numId w:val="21"/>
        </w:numPr>
        <w:suppressAutoHyphens/>
        <w:spacing w:after="200"/>
        <w:ind w:left="1440" w:hanging="720"/>
        <w:jc w:val="both"/>
        <w:outlineLvl w:val="2"/>
        <w:rPr>
          <w:rFonts w:ascii="Arial" w:hAnsi="Arial" w:cs="Arial"/>
          <w:bCs/>
          <w:color w:val="auto"/>
        </w:rPr>
      </w:pPr>
      <w:r>
        <w:rPr>
          <w:rFonts w:ascii="Arial" w:hAnsi="Arial"/>
          <w:color w:val="auto"/>
        </w:rPr>
        <w:t xml:space="preserve">Projecto de relatório final; </w:t>
      </w:r>
    </w:p>
    <w:p w14:paraId="34B914D2" w14:textId="1D2D7276" w:rsidR="0038661C" w:rsidRPr="00A44B4C" w:rsidRDefault="003B11B4" w:rsidP="00C308BB">
      <w:pPr>
        <w:widowControl/>
        <w:numPr>
          <w:ilvl w:val="0"/>
          <w:numId w:val="21"/>
        </w:numPr>
        <w:suppressAutoHyphens/>
        <w:spacing w:after="200"/>
        <w:ind w:left="1440" w:hanging="720"/>
        <w:jc w:val="both"/>
        <w:outlineLvl w:val="2"/>
        <w:rPr>
          <w:rFonts w:ascii="Arial" w:hAnsi="Arial" w:cs="Arial"/>
          <w:bCs/>
          <w:color w:val="auto"/>
        </w:rPr>
      </w:pPr>
      <w:bookmarkStart w:id="2" w:name="_Toc439858830"/>
      <w:r>
        <w:rPr>
          <w:rFonts w:ascii="Arial" w:hAnsi="Arial"/>
          <w:color w:val="auto"/>
        </w:rPr>
        <w:t>Relatório final.</w:t>
      </w:r>
    </w:p>
    <w:p w14:paraId="086D43A8" w14:textId="77777777" w:rsidR="00A44B4C" w:rsidRPr="0038661C" w:rsidRDefault="00A44B4C" w:rsidP="0038661C">
      <w:pPr>
        <w:widowControl/>
        <w:suppressAutoHyphens/>
        <w:rPr>
          <w:rFonts w:ascii="Arial" w:eastAsia="Arial" w:hAnsi="Arial" w:cs="Arial"/>
          <w:color w:val="auto"/>
          <w:lang w:val="en-GB" w:bidi="ar-SA"/>
        </w:rPr>
      </w:pPr>
    </w:p>
    <w:p w14:paraId="002AA72B" w14:textId="6267ED46" w:rsidR="0038661C" w:rsidRPr="0038661C" w:rsidRDefault="0038661C" w:rsidP="00C308BB">
      <w:pPr>
        <w:widowControl/>
        <w:numPr>
          <w:ilvl w:val="0"/>
          <w:numId w:val="18"/>
        </w:numPr>
        <w:suppressAutoHyphens/>
        <w:spacing w:after="200" w:line="276" w:lineRule="auto"/>
        <w:ind w:hanging="720"/>
        <w:jc w:val="both"/>
        <w:outlineLvl w:val="2"/>
        <w:rPr>
          <w:rFonts w:ascii="Arial" w:hAnsi="Arial" w:cs="Arial"/>
          <w:b/>
          <w:bCs/>
          <w:color w:val="auto"/>
        </w:rPr>
      </w:pPr>
      <w:r>
        <w:rPr>
          <w:rFonts w:ascii="Arial" w:hAnsi="Arial"/>
          <w:b/>
          <w:color w:val="auto"/>
        </w:rPr>
        <w:t>Competências técnicas e qualificações do Consultor</w:t>
      </w:r>
      <w:bookmarkEnd w:id="2"/>
    </w:p>
    <w:p w14:paraId="7F5BD57D" w14:textId="2D2D2BC2" w:rsidR="0038661C" w:rsidRPr="0038661C" w:rsidRDefault="0038661C" w:rsidP="00C308BB">
      <w:pPr>
        <w:widowControl/>
        <w:suppressAutoHyphens/>
        <w:ind w:left="720"/>
        <w:jc w:val="both"/>
        <w:rPr>
          <w:rFonts w:ascii="Arial" w:eastAsia="Arial" w:hAnsi="Arial" w:cs="Arial"/>
          <w:color w:val="auto"/>
        </w:rPr>
      </w:pPr>
      <w:r>
        <w:rPr>
          <w:rFonts w:ascii="Arial" w:hAnsi="Arial"/>
          <w:color w:val="auto"/>
        </w:rPr>
        <w:t>Um perito jurídico com experiência acumulada na área de energia, com conhecimentos e experiência regional e/ou internacional nos domínios da energia (projectos de transmissão regional, energia hidroeléctrica, gás natural, hidrocarbonetos e energias renováveis); O perito jurídico pode estar adstrito a uma empresa de consultoria de transacções de envergadura; O perito jurídico deve possuir os seguintes atributos:</w:t>
      </w:r>
    </w:p>
    <w:p w14:paraId="011A1773" w14:textId="77777777" w:rsidR="0038661C" w:rsidRPr="00C308BB" w:rsidRDefault="0038661C" w:rsidP="0038661C">
      <w:pPr>
        <w:widowControl/>
        <w:suppressAutoHyphens/>
        <w:ind w:left="66"/>
        <w:jc w:val="both"/>
        <w:rPr>
          <w:rFonts w:ascii="Arial" w:eastAsia="Arial" w:hAnsi="Arial" w:cs="Arial"/>
          <w:color w:val="auto"/>
          <w:lang w:bidi="ar-SA"/>
        </w:rPr>
      </w:pPr>
    </w:p>
    <w:p w14:paraId="61023C04" w14:textId="5A3C1837" w:rsidR="0038661C" w:rsidRPr="0038661C" w:rsidRDefault="0038661C" w:rsidP="000B060D">
      <w:pPr>
        <w:widowControl/>
        <w:numPr>
          <w:ilvl w:val="0"/>
          <w:numId w:val="22"/>
        </w:numPr>
        <w:suppressAutoHyphens/>
        <w:spacing w:after="200" w:line="276" w:lineRule="auto"/>
        <w:ind w:left="1440" w:hanging="720"/>
        <w:contextualSpacing/>
        <w:jc w:val="both"/>
        <w:rPr>
          <w:rFonts w:ascii="Arial" w:eastAsia="Arial" w:hAnsi="Arial" w:cs="Arial"/>
          <w:color w:val="auto"/>
        </w:rPr>
      </w:pPr>
      <w:r>
        <w:rPr>
          <w:rFonts w:ascii="Arial" w:hAnsi="Arial"/>
          <w:color w:val="auto"/>
        </w:rPr>
        <w:lastRenderedPageBreak/>
        <w:t>Pelo menos doze (12) anos de experiência profissional pertinente, quer numa firma de advogados reconhecida, quer numa componente de uma firma de consultoria em transacções de energia de envergadura;</w:t>
      </w:r>
    </w:p>
    <w:p w14:paraId="041A0709" w14:textId="77777777" w:rsidR="000B060D" w:rsidRPr="000B060D" w:rsidRDefault="000B060D" w:rsidP="000B060D">
      <w:pPr>
        <w:widowControl/>
        <w:suppressAutoHyphens/>
        <w:spacing w:after="200" w:line="276" w:lineRule="auto"/>
        <w:ind w:left="1440"/>
        <w:contextualSpacing/>
        <w:jc w:val="both"/>
        <w:rPr>
          <w:rFonts w:ascii="Arial" w:eastAsia="Arial" w:hAnsi="Arial" w:cs="Arial"/>
          <w:color w:val="auto"/>
        </w:rPr>
      </w:pPr>
    </w:p>
    <w:p w14:paraId="2DC549DC" w14:textId="49C0CA34" w:rsidR="0038661C" w:rsidRPr="0038661C" w:rsidRDefault="00987DA8" w:rsidP="000B060D">
      <w:pPr>
        <w:widowControl/>
        <w:numPr>
          <w:ilvl w:val="0"/>
          <w:numId w:val="22"/>
        </w:numPr>
        <w:suppressAutoHyphens/>
        <w:spacing w:after="200" w:line="276" w:lineRule="auto"/>
        <w:ind w:left="1440" w:hanging="720"/>
        <w:contextualSpacing/>
        <w:jc w:val="both"/>
        <w:rPr>
          <w:rFonts w:ascii="Arial" w:eastAsia="Arial" w:hAnsi="Arial" w:cs="Arial"/>
          <w:color w:val="auto"/>
        </w:rPr>
      </w:pPr>
      <w:r>
        <w:rPr>
          <w:rFonts w:ascii="Arial" w:hAnsi="Arial"/>
          <w:color w:val="auto"/>
        </w:rPr>
        <w:t>Perito jurídico na área de energia, engenharia e/ou economia;</w:t>
      </w:r>
    </w:p>
    <w:p w14:paraId="2ADA8C43" w14:textId="77777777" w:rsidR="000B060D" w:rsidRPr="000B060D" w:rsidRDefault="000B060D" w:rsidP="000B060D">
      <w:pPr>
        <w:widowControl/>
        <w:suppressAutoHyphens/>
        <w:spacing w:after="200" w:line="276" w:lineRule="auto"/>
        <w:ind w:left="1440"/>
        <w:contextualSpacing/>
        <w:jc w:val="both"/>
        <w:rPr>
          <w:rFonts w:ascii="Arial" w:eastAsia="Arial" w:hAnsi="Arial" w:cs="Arial"/>
          <w:color w:val="auto"/>
        </w:rPr>
      </w:pPr>
    </w:p>
    <w:p w14:paraId="53E2BC8E" w14:textId="758C8516" w:rsidR="0038661C" w:rsidRPr="0038661C" w:rsidRDefault="0038661C" w:rsidP="000B060D">
      <w:pPr>
        <w:widowControl/>
        <w:numPr>
          <w:ilvl w:val="0"/>
          <w:numId w:val="22"/>
        </w:numPr>
        <w:suppressAutoHyphens/>
        <w:spacing w:after="200" w:line="276" w:lineRule="auto"/>
        <w:ind w:left="1440" w:hanging="720"/>
        <w:contextualSpacing/>
        <w:jc w:val="both"/>
        <w:rPr>
          <w:rFonts w:ascii="Arial" w:eastAsia="Arial" w:hAnsi="Arial" w:cs="Arial"/>
          <w:color w:val="auto"/>
        </w:rPr>
      </w:pPr>
      <w:r>
        <w:rPr>
          <w:rFonts w:ascii="Arial" w:hAnsi="Arial"/>
          <w:color w:val="auto"/>
        </w:rPr>
        <w:t xml:space="preserve">Familiaridade com o trabalho em instituições regionais da SADC; </w:t>
      </w:r>
    </w:p>
    <w:p w14:paraId="49AF47B6" w14:textId="77777777" w:rsidR="000B060D" w:rsidRPr="000B060D" w:rsidRDefault="000B060D" w:rsidP="000B060D">
      <w:pPr>
        <w:widowControl/>
        <w:suppressAutoHyphens/>
        <w:spacing w:after="200" w:line="276" w:lineRule="auto"/>
        <w:ind w:left="1440"/>
        <w:contextualSpacing/>
        <w:jc w:val="both"/>
        <w:rPr>
          <w:rFonts w:ascii="Arial" w:eastAsia="Arial" w:hAnsi="Arial" w:cs="Arial"/>
          <w:color w:val="auto"/>
        </w:rPr>
      </w:pPr>
    </w:p>
    <w:p w14:paraId="3C6885ED" w14:textId="1D43B624" w:rsidR="0038661C" w:rsidRPr="0038661C" w:rsidRDefault="0038661C" w:rsidP="000B060D">
      <w:pPr>
        <w:widowControl/>
        <w:numPr>
          <w:ilvl w:val="0"/>
          <w:numId w:val="22"/>
        </w:numPr>
        <w:suppressAutoHyphens/>
        <w:spacing w:after="200" w:line="276" w:lineRule="auto"/>
        <w:ind w:left="1440" w:hanging="720"/>
        <w:contextualSpacing/>
        <w:jc w:val="both"/>
        <w:rPr>
          <w:rFonts w:ascii="Arial" w:eastAsia="Arial" w:hAnsi="Arial" w:cs="Arial"/>
          <w:color w:val="auto"/>
        </w:rPr>
      </w:pPr>
      <w:r>
        <w:rPr>
          <w:rFonts w:ascii="Arial" w:hAnsi="Arial"/>
          <w:color w:val="auto"/>
        </w:rPr>
        <w:t>Familiaridade com os principais instrumentos políticos e estratégicos da SADC, especialmente os que regem as operações dos sectores da Energia;</w:t>
      </w:r>
    </w:p>
    <w:p w14:paraId="2A9BF154" w14:textId="77777777" w:rsidR="000B060D" w:rsidRPr="000B060D" w:rsidRDefault="000B060D" w:rsidP="000B060D">
      <w:pPr>
        <w:widowControl/>
        <w:suppressAutoHyphens/>
        <w:spacing w:after="200" w:line="276" w:lineRule="auto"/>
        <w:ind w:left="1440"/>
        <w:contextualSpacing/>
        <w:jc w:val="both"/>
        <w:rPr>
          <w:rFonts w:ascii="Arial" w:eastAsia="Arial" w:hAnsi="Arial" w:cs="Arial"/>
          <w:color w:val="auto"/>
        </w:rPr>
      </w:pPr>
    </w:p>
    <w:p w14:paraId="10E6B5FC" w14:textId="645EF9A4" w:rsidR="0038661C" w:rsidRPr="0038661C" w:rsidRDefault="0038661C" w:rsidP="000B060D">
      <w:pPr>
        <w:widowControl/>
        <w:numPr>
          <w:ilvl w:val="0"/>
          <w:numId w:val="22"/>
        </w:numPr>
        <w:suppressAutoHyphens/>
        <w:spacing w:after="200" w:line="276" w:lineRule="auto"/>
        <w:ind w:left="1440" w:hanging="720"/>
        <w:contextualSpacing/>
        <w:jc w:val="both"/>
        <w:rPr>
          <w:rFonts w:ascii="Arial" w:eastAsia="Arial" w:hAnsi="Arial" w:cs="Arial"/>
          <w:color w:val="auto"/>
        </w:rPr>
      </w:pPr>
      <w:r>
        <w:rPr>
          <w:rFonts w:ascii="Arial" w:hAnsi="Arial"/>
          <w:color w:val="auto"/>
        </w:rPr>
        <w:t xml:space="preserve">Excelentes aptidões de comunicação e capacidade para redacção de relatórios; </w:t>
      </w:r>
    </w:p>
    <w:p w14:paraId="1DF3A221" w14:textId="77777777" w:rsidR="000B060D" w:rsidRPr="000B060D" w:rsidRDefault="000B060D" w:rsidP="000B060D">
      <w:pPr>
        <w:widowControl/>
        <w:suppressAutoHyphens/>
        <w:spacing w:after="200" w:line="276" w:lineRule="auto"/>
        <w:ind w:left="1440"/>
        <w:contextualSpacing/>
        <w:jc w:val="both"/>
        <w:rPr>
          <w:rFonts w:ascii="Arial" w:eastAsia="Arial" w:hAnsi="Arial" w:cs="Arial"/>
          <w:color w:val="auto"/>
        </w:rPr>
      </w:pPr>
    </w:p>
    <w:p w14:paraId="7DE032B3" w14:textId="3B85FACF" w:rsidR="0038661C" w:rsidRPr="0038661C" w:rsidRDefault="00135DAA" w:rsidP="000B060D">
      <w:pPr>
        <w:widowControl/>
        <w:numPr>
          <w:ilvl w:val="0"/>
          <w:numId w:val="22"/>
        </w:numPr>
        <w:suppressAutoHyphens/>
        <w:spacing w:after="200" w:line="276" w:lineRule="auto"/>
        <w:ind w:left="1440" w:hanging="720"/>
        <w:contextualSpacing/>
        <w:jc w:val="both"/>
        <w:rPr>
          <w:rFonts w:ascii="Arial" w:eastAsia="Arial" w:hAnsi="Arial" w:cs="Arial"/>
          <w:color w:val="auto"/>
        </w:rPr>
      </w:pPr>
      <w:r>
        <w:rPr>
          <w:rFonts w:ascii="Arial" w:hAnsi="Arial"/>
          <w:color w:val="auto"/>
        </w:rPr>
        <w:t>Ser cidadão de qualquer Estado-Membro da SADC e o conhecimento do português ou do francês será uma vantagem acrescida;</w:t>
      </w:r>
    </w:p>
    <w:p w14:paraId="53989F7C" w14:textId="77777777" w:rsidR="000B060D" w:rsidRPr="000B060D" w:rsidRDefault="000B060D" w:rsidP="000B060D">
      <w:pPr>
        <w:widowControl/>
        <w:suppressAutoHyphens/>
        <w:spacing w:after="200" w:line="276" w:lineRule="auto"/>
        <w:ind w:left="1440"/>
        <w:contextualSpacing/>
        <w:jc w:val="both"/>
        <w:rPr>
          <w:rFonts w:ascii="Arial" w:eastAsia="Arial" w:hAnsi="Arial" w:cs="Arial"/>
          <w:color w:val="auto"/>
        </w:rPr>
      </w:pPr>
    </w:p>
    <w:p w14:paraId="1D05F909" w14:textId="269F980B" w:rsidR="0038661C" w:rsidRPr="0038661C" w:rsidRDefault="0038661C" w:rsidP="000B060D">
      <w:pPr>
        <w:widowControl/>
        <w:numPr>
          <w:ilvl w:val="0"/>
          <w:numId w:val="22"/>
        </w:numPr>
        <w:suppressAutoHyphens/>
        <w:spacing w:after="200" w:line="276" w:lineRule="auto"/>
        <w:ind w:left="1440" w:hanging="720"/>
        <w:contextualSpacing/>
        <w:jc w:val="both"/>
        <w:rPr>
          <w:rFonts w:ascii="Arial" w:eastAsia="Arial" w:hAnsi="Arial" w:cs="Arial"/>
          <w:color w:val="auto"/>
        </w:rPr>
      </w:pPr>
      <w:r>
        <w:rPr>
          <w:rFonts w:ascii="Arial" w:hAnsi="Arial"/>
          <w:color w:val="auto"/>
        </w:rPr>
        <w:t>Compreensão da integração regional e suas implicações para a SADC e os Estados-Membros.</w:t>
      </w:r>
    </w:p>
    <w:p w14:paraId="092F996D" w14:textId="77777777" w:rsidR="0038661C" w:rsidRPr="00C308BB" w:rsidRDefault="0038661C" w:rsidP="0038661C">
      <w:pPr>
        <w:widowControl/>
        <w:suppressAutoHyphens/>
        <w:jc w:val="both"/>
        <w:rPr>
          <w:rFonts w:ascii="Arial" w:eastAsia="Arial" w:hAnsi="Arial" w:cs="Arial"/>
          <w:color w:val="auto"/>
          <w:lang w:bidi="ar-SA"/>
        </w:rPr>
      </w:pPr>
    </w:p>
    <w:p w14:paraId="021DA532" w14:textId="6F75D715" w:rsidR="0038661C" w:rsidRPr="0038661C" w:rsidRDefault="00BE1D1B" w:rsidP="000B060D">
      <w:pPr>
        <w:widowControl/>
        <w:numPr>
          <w:ilvl w:val="0"/>
          <w:numId w:val="18"/>
        </w:numPr>
        <w:suppressAutoHyphens/>
        <w:spacing w:after="200" w:line="276" w:lineRule="auto"/>
        <w:ind w:hanging="720"/>
        <w:jc w:val="both"/>
        <w:outlineLvl w:val="0"/>
        <w:rPr>
          <w:rFonts w:ascii="Arial" w:hAnsi="Arial" w:cs="Arial"/>
          <w:b/>
          <w:bCs/>
          <w:color w:val="auto"/>
        </w:rPr>
      </w:pPr>
      <w:r>
        <w:rPr>
          <w:rFonts w:ascii="Arial" w:hAnsi="Arial"/>
          <w:b/>
          <w:color w:val="auto"/>
        </w:rPr>
        <w:t>Conclusão e prazos de apresentação</w:t>
      </w:r>
    </w:p>
    <w:p w14:paraId="2AF78C22" w14:textId="133447BB" w:rsidR="00525029" w:rsidRDefault="00AF6EF5" w:rsidP="000B060D">
      <w:pPr>
        <w:pStyle w:val="Bodytext10"/>
        <w:shd w:val="clear" w:color="auto" w:fill="auto"/>
        <w:spacing w:after="14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Neste contexto, o Secretariado da SADC deseja convidar Consultores Jurídicos e empresas qualificados a apresentarem as suas expressões de interesse em prestar apoio de consultoria jurídica a </w:t>
      </w:r>
      <w:r>
        <w:rPr>
          <w:rFonts w:ascii="Arial" w:hAnsi="Arial"/>
          <w:b/>
          <w:i/>
          <w:sz w:val="24"/>
        </w:rPr>
        <w:t>curto prazo</w:t>
      </w:r>
      <w:r>
        <w:rPr>
          <w:rFonts w:ascii="Arial" w:hAnsi="Arial"/>
          <w:sz w:val="24"/>
        </w:rPr>
        <w:t>.</w:t>
      </w:r>
    </w:p>
    <w:p w14:paraId="57B084DC" w14:textId="2131CAE0" w:rsidR="00D525E7" w:rsidRDefault="00D525E7" w:rsidP="000B060D">
      <w:pPr>
        <w:pStyle w:val="Bodytext10"/>
        <w:shd w:val="clear" w:color="auto" w:fill="auto"/>
        <w:spacing w:after="14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Prazos de apresentação: Três (3) meses</w:t>
      </w:r>
    </w:p>
    <w:p w14:paraId="0E40C187" w14:textId="7F7F8BA3" w:rsidR="00D525E7" w:rsidRDefault="00D525E7" w:rsidP="000B060D">
      <w:pPr>
        <w:pStyle w:val="Bodytext10"/>
        <w:shd w:val="clear" w:color="auto" w:fill="auto"/>
        <w:spacing w:after="14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Data projectada para o início da tarefa: 1 de Junho de 2022</w:t>
      </w:r>
    </w:p>
    <w:p w14:paraId="2C48355E" w14:textId="2ECCFC53" w:rsidR="00D525E7" w:rsidRDefault="00D525E7">
      <w:pPr>
        <w:pStyle w:val="Bodytext10"/>
        <w:shd w:val="clear" w:color="auto" w:fill="auto"/>
        <w:spacing w:after="140"/>
        <w:jc w:val="both"/>
        <w:rPr>
          <w:rFonts w:ascii="Arial" w:hAnsi="Arial" w:cs="Arial"/>
          <w:sz w:val="24"/>
          <w:szCs w:val="24"/>
        </w:rPr>
      </w:pPr>
    </w:p>
    <w:p w14:paraId="08F8B759" w14:textId="0AA46FCC" w:rsidR="00D525E7" w:rsidRPr="00D525E7" w:rsidRDefault="00D525E7" w:rsidP="00D525E7">
      <w:pPr>
        <w:pStyle w:val="Bodytext10"/>
        <w:shd w:val="clear" w:color="auto" w:fill="auto"/>
        <w:spacing w:after="1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Propostas</w:t>
      </w:r>
    </w:p>
    <w:p w14:paraId="08EA6018" w14:textId="3D488564" w:rsidR="00D525E7" w:rsidRDefault="00D525E7" w:rsidP="00D525E7">
      <w:pPr>
        <w:pStyle w:val="Bodytext10"/>
        <w:shd w:val="clear" w:color="auto" w:fill="auto"/>
        <w:spacing w:after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 xml:space="preserve">As propostas devem ser submetidas por formato digital ao endereço de correio electrónico abaixo indicado, o mais tardar até às </w:t>
      </w:r>
      <w:r>
        <w:rPr>
          <w:rFonts w:ascii="Arial" w:hAnsi="Arial"/>
          <w:b/>
          <w:sz w:val="24"/>
        </w:rPr>
        <w:t>15h00</w:t>
      </w:r>
      <w:r>
        <w:rPr>
          <w:rFonts w:ascii="Arial" w:hAnsi="Arial"/>
          <w:sz w:val="24"/>
        </w:rPr>
        <w:t xml:space="preserve"> do dia </w:t>
      </w:r>
      <w:r>
        <w:rPr>
          <w:rFonts w:ascii="Arial" w:hAnsi="Arial"/>
          <w:b/>
          <w:sz w:val="24"/>
        </w:rPr>
        <w:t>2</w:t>
      </w:r>
      <w:r w:rsidR="00354173">
        <w:rPr>
          <w:rFonts w:ascii="Arial" w:hAnsi="Arial"/>
          <w:b/>
          <w:sz w:val="24"/>
        </w:rPr>
        <w:t>8</w:t>
      </w:r>
      <w:bookmarkStart w:id="3" w:name="_GoBack"/>
      <w:bookmarkEnd w:id="3"/>
      <w:r>
        <w:rPr>
          <w:rFonts w:ascii="Arial" w:hAnsi="Arial"/>
          <w:b/>
          <w:sz w:val="24"/>
        </w:rPr>
        <w:t> de Abril de 2022</w:t>
      </w:r>
      <w:r>
        <w:rPr>
          <w:rFonts w:ascii="Arial" w:hAnsi="Arial"/>
          <w:sz w:val="24"/>
        </w:rPr>
        <w:t xml:space="preserve">, hora central africana, e com os dizeres </w:t>
      </w:r>
      <w:r>
        <w:rPr>
          <w:rFonts w:ascii="Arial" w:hAnsi="Arial"/>
          <w:b/>
          <w:sz w:val="24"/>
        </w:rPr>
        <w:t>«Proposta de Consultor Jurídico de Curto Prazo para a Devida Diligência em Projectos de Energia Regionais»</w:t>
      </w:r>
      <w:r>
        <w:rPr>
          <w:rFonts w:ascii="Arial" w:hAnsi="Arial"/>
          <w:sz w:val="24"/>
        </w:rPr>
        <w:t xml:space="preserve">.  </w:t>
      </w:r>
    </w:p>
    <w:p w14:paraId="7A58994A" w14:textId="77777777" w:rsidR="00D525E7" w:rsidRDefault="00D525E7" w:rsidP="00D525E7">
      <w:pPr>
        <w:pStyle w:val="Bodytext10"/>
        <w:shd w:val="clear" w:color="auto" w:fill="auto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8D01157" w14:textId="077ED631" w:rsidR="00D525E7" w:rsidRPr="00D525E7" w:rsidRDefault="00D525E7" w:rsidP="000B060D">
      <w:pPr>
        <w:pStyle w:val="Bodytext10"/>
        <w:shd w:val="clear" w:color="auto" w:fill="auto"/>
        <w:spacing w:after="0" w:line="240" w:lineRule="auto"/>
        <w:ind w:left="2880" w:hanging="28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Endereço e contactos:</w:t>
      </w:r>
      <w:r w:rsidR="000B060D"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 xml:space="preserve">Rede de Energia da África Austral </w:t>
      </w:r>
    </w:p>
    <w:p w14:paraId="282D58F9" w14:textId="19EEED7A" w:rsidR="00D525E7" w:rsidRPr="00D525E7" w:rsidRDefault="00D525E7" w:rsidP="000B060D">
      <w:pPr>
        <w:pStyle w:val="Bodytext10"/>
        <w:shd w:val="clear" w:color="auto" w:fill="auto"/>
        <w:spacing w:after="0" w:line="240" w:lineRule="auto"/>
        <w:ind w:left="2880" w:hanging="28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À atenção de:</w:t>
      </w:r>
      <w:r w:rsidR="000B060D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>Thembekani Luthuli,</w:t>
      </w:r>
    </w:p>
    <w:p w14:paraId="00F0160A" w14:textId="77777777" w:rsidR="00D525E7" w:rsidRPr="00D525E7" w:rsidRDefault="00D525E7" w:rsidP="000B060D">
      <w:pPr>
        <w:pStyle w:val="Bodytext10"/>
        <w:shd w:val="clear" w:color="auto" w:fill="auto"/>
        <w:spacing w:after="0" w:line="240" w:lineRule="auto"/>
        <w:ind w:left="288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 xml:space="preserve">Especialista em Contratação de Bens, Obras e Serviços da PAU da SAPP </w:t>
      </w:r>
    </w:p>
    <w:p w14:paraId="11393260" w14:textId="45FBF19A" w:rsidR="00D525E7" w:rsidRPr="00D525E7" w:rsidRDefault="00D525E7" w:rsidP="000B060D">
      <w:pPr>
        <w:pStyle w:val="Bodytext10"/>
        <w:shd w:val="clear" w:color="auto" w:fill="auto"/>
        <w:spacing w:after="0" w:line="240" w:lineRule="auto"/>
        <w:ind w:left="2880" w:hanging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Tel.:</w:t>
      </w:r>
      <w:r w:rsidR="000B060D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 xml:space="preserve">+27 10 446 9600/+27 72 709 7252 </w:t>
      </w:r>
    </w:p>
    <w:p w14:paraId="43B04418" w14:textId="2B19EB02" w:rsidR="00D525E7" w:rsidRPr="00D525E7" w:rsidRDefault="00D525E7" w:rsidP="000B060D">
      <w:pPr>
        <w:pStyle w:val="Bodytext10"/>
        <w:shd w:val="clear" w:color="auto" w:fill="auto"/>
        <w:spacing w:after="0" w:line="240" w:lineRule="auto"/>
        <w:ind w:left="2880" w:hanging="2880"/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</w:rPr>
        <w:t>Correio electrónico:</w:t>
      </w:r>
      <w:r w:rsidR="000B060D">
        <w:rPr>
          <w:rFonts w:ascii="Arial" w:hAnsi="Arial"/>
          <w:b/>
          <w:sz w:val="24"/>
        </w:rPr>
        <w:tab/>
      </w:r>
      <w:hyperlink r:id="rId9" w:history="1">
        <w:r w:rsidR="000B060D" w:rsidRPr="00674239">
          <w:rPr>
            <w:rStyle w:val="Hyperlink"/>
            <w:rFonts w:ascii="Arial" w:hAnsi="Arial"/>
            <w:b/>
            <w:sz w:val="24"/>
          </w:rPr>
          <w:t>thembekani.luthuli@sapp.co.zw</w:t>
        </w:r>
      </w:hyperlink>
    </w:p>
    <w:p w14:paraId="66F3DC5E" w14:textId="77777777" w:rsidR="00D525E7" w:rsidRPr="00D525E7" w:rsidRDefault="00D525E7" w:rsidP="00D525E7">
      <w:pPr>
        <w:pStyle w:val="Bodytext10"/>
        <w:shd w:val="clear" w:color="auto" w:fill="auto"/>
        <w:spacing w:after="140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6161A58C" w14:textId="7695F81A" w:rsidR="00D525E7" w:rsidRPr="00AB7D45" w:rsidRDefault="00D525E7" w:rsidP="00D525E7">
      <w:pPr>
        <w:pStyle w:val="Bodytext10"/>
        <w:shd w:val="clear" w:color="auto" w:fill="auto"/>
        <w:spacing w:after="140"/>
        <w:ind w:left="720"/>
        <w:jc w:val="both"/>
        <w:rPr>
          <w:rFonts w:ascii="Arial" w:hAnsi="Arial" w:cs="Arial"/>
          <w:sz w:val="24"/>
          <w:szCs w:val="24"/>
        </w:rPr>
      </w:pPr>
    </w:p>
    <w:p w14:paraId="7A897FB9" w14:textId="77777777" w:rsidR="000B060D" w:rsidRDefault="000B060D" w:rsidP="00D525E7">
      <w:pPr>
        <w:pStyle w:val="Heading210"/>
        <w:keepNext/>
        <w:keepLines/>
        <w:shd w:val="clear" w:color="auto" w:fill="auto"/>
        <w:spacing w:after="140" w:line="257" w:lineRule="auto"/>
        <w:rPr>
          <w:rFonts w:ascii="Arial" w:hAnsi="Arial"/>
          <w:sz w:val="24"/>
        </w:rPr>
      </w:pPr>
    </w:p>
    <w:p w14:paraId="5C0457E5" w14:textId="48122104" w:rsidR="00B038E3" w:rsidRPr="00D525E7" w:rsidRDefault="00B038E3" w:rsidP="00D525E7">
      <w:pPr>
        <w:pStyle w:val="Heading210"/>
        <w:keepNext/>
        <w:keepLines/>
        <w:shd w:val="clear" w:color="auto" w:fill="auto"/>
        <w:spacing w:after="140" w:line="257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Anexo 1</w:t>
      </w:r>
    </w:p>
    <w:p w14:paraId="0C403414" w14:textId="77777777" w:rsidR="00B038E3" w:rsidRPr="00AB7D45" w:rsidRDefault="00B038E3" w:rsidP="00B038E3">
      <w:pPr>
        <w:jc w:val="both"/>
        <w:rPr>
          <w:rFonts w:ascii="Arial" w:hAnsi="Arial" w:cs="Arial"/>
        </w:rPr>
      </w:pPr>
      <w:r>
        <w:rPr>
          <w:rFonts w:ascii="Arial" w:hAnsi="Arial"/>
        </w:rPr>
        <w:t>Os prazos abaixo indicados ilustram o Roteiro das Iniciativas que devem ser implementadas e priorizadas de acordo com o Plano Operacional Anual (POA) da SADC.  Os objectivos do Consultor Jurídico são os seguintes:</w:t>
      </w:r>
    </w:p>
    <w:p w14:paraId="161A8DFA" w14:textId="77777777" w:rsidR="00B038E3" w:rsidRPr="00AB7D45" w:rsidRDefault="00B038E3" w:rsidP="00B038E3">
      <w:pPr>
        <w:jc w:val="both"/>
        <w:rPr>
          <w:rFonts w:ascii="Arial" w:hAnsi="Arial" w:cs="Arial"/>
        </w:rPr>
      </w:pPr>
      <w:r>
        <w:rPr>
          <w:rFonts w:ascii="Arial" w:hAnsi="Arial"/>
        </w:rPr>
        <w:t> </w:t>
      </w:r>
    </w:p>
    <w:p w14:paraId="13C577D4" w14:textId="3A115A08" w:rsidR="00B038E3" w:rsidRPr="00AB7D45" w:rsidRDefault="00B038E3" w:rsidP="000B060D">
      <w:pPr>
        <w:widowControl/>
        <w:numPr>
          <w:ilvl w:val="1"/>
          <w:numId w:val="7"/>
        </w:numPr>
        <w:ind w:left="720" w:hanging="720"/>
        <w:jc w:val="both"/>
        <w:rPr>
          <w:rFonts w:ascii="Arial" w:hAnsi="Arial" w:cs="Arial"/>
        </w:rPr>
      </w:pPr>
      <w:r>
        <w:rPr>
          <w:rFonts w:ascii="Arial" w:hAnsi="Arial"/>
          <w:b/>
        </w:rPr>
        <w:t>Iniciativa 6</w:t>
      </w:r>
      <w:r>
        <w:rPr>
          <w:rFonts w:ascii="Arial" w:hAnsi="Arial"/>
        </w:rPr>
        <w:t xml:space="preserve"> </w:t>
      </w:r>
      <w:r w:rsidR="000B060D">
        <w:rPr>
          <w:rFonts w:ascii="Arial" w:hAnsi="Arial"/>
        </w:rPr>
        <w:t>–</w:t>
      </w:r>
      <w:r>
        <w:rPr>
          <w:rFonts w:ascii="Arial" w:hAnsi="Arial"/>
        </w:rPr>
        <w:t xml:space="preserve"> rever todos os 17 Projectos de Energia Regionais.  Realizar a Devida Diligência, nomeadamente </w:t>
      </w:r>
      <w:r>
        <w:rPr>
          <w:rFonts w:ascii="Arial" w:hAnsi="Arial"/>
          <w:b/>
        </w:rPr>
        <w:t>(a)</w:t>
      </w:r>
      <w:r>
        <w:rPr>
          <w:rFonts w:ascii="Arial" w:hAnsi="Arial"/>
        </w:rPr>
        <w:t xml:space="preserve"> recolher todos os IGMOU (quer executados, quer não executados, tanto válidos como inválidos do ponto de vista do período; </w:t>
      </w:r>
      <w:r>
        <w:rPr>
          <w:rFonts w:ascii="Arial" w:hAnsi="Arial"/>
          <w:b/>
        </w:rPr>
        <w:t>(b)</w:t>
      </w:r>
      <w:r>
        <w:rPr>
          <w:rFonts w:ascii="Arial" w:hAnsi="Arial"/>
        </w:rPr>
        <w:t xml:space="preserve"> apresentar o ponto de situação de todos os IGMOU após trabalhar em estreita colaboração com a SAPP e o Secretariado da SADC; </w:t>
      </w:r>
      <w:r>
        <w:rPr>
          <w:rFonts w:ascii="Arial" w:hAnsi="Arial"/>
          <w:b/>
        </w:rPr>
        <w:t>(c)</w:t>
      </w:r>
      <w:r>
        <w:rPr>
          <w:rFonts w:ascii="Arial" w:hAnsi="Arial"/>
        </w:rPr>
        <w:t xml:space="preserve"> apresentar os projectos que dispõem de estruturas de governação prescritas, tais como Comissão Conjunta e Comité Ministerial, etc., abrangidas pelo IGMOU, trabalhando em estreita colaboração com o Secretariado da SADC e a PAU da SAPP; </w:t>
      </w:r>
      <w:r>
        <w:rPr>
          <w:rFonts w:ascii="Arial" w:hAnsi="Arial"/>
          <w:b/>
        </w:rPr>
        <w:t>(d)</w:t>
      </w:r>
      <w:r>
        <w:rPr>
          <w:rFonts w:ascii="Arial" w:hAnsi="Arial"/>
        </w:rPr>
        <w:t xml:space="preserve"> após trabalhar em estreita colaboração com a SAPP e o Secretariado da SADC, em matéria de projectos prioritários que requerem a implementação iminente de estruturas de governação).</w:t>
      </w:r>
      <w:r w:rsidR="000B060D">
        <w:rPr>
          <w:rFonts w:ascii="Arial" w:hAnsi="Arial"/>
        </w:rPr>
        <w:t xml:space="preserve"> </w:t>
      </w:r>
      <w:r>
        <w:rPr>
          <w:rFonts w:ascii="Arial" w:hAnsi="Arial"/>
        </w:rPr>
        <w:t>O Secretariado da SADC assegurará, posteriormente, a criação e operacionalização de unidades dedicadas à execução de projectos e comités directores de projectos a nível dos Estados-Membros de projectos prioritários identificados.</w:t>
      </w:r>
      <w:r w:rsidR="000B060D">
        <w:rPr>
          <w:rFonts w:ascii="Arial" w:hAnsi="Arial"/>
        </w:rPr>
        <w:t xml:space="preserve"> </w:t>
      </w:r>
      <w:r>
        <w:rPr>
          <w:rFonts w:ascii="Arial" w:hAnsi="Arial"/>
        </w:rPr>
        <w:t xml:space="preserve">Segundo resultado final da 1.ª Reunião do EWG da SADC abrangido pela Iniciativa 6.  Apresentação prevista para o </w:t>
      </w:r>
      <w:r>
        <w:rPr>
          <w:rFonts w:ascii="Arial" w:hAnsi="Arial"/>
          <w:b/>
        </w:rPr>
        <w:t>fim de Maio de 2022</w:t>
      </w:r>
      <w:r w:rsidR="000B060D">
        <w:rPr>
          <w:rFonts w:ascii="Arial" w:hAnsi="Arial"/>
        </w:rPr>
        <w:t>;</w:t>
      </w:r>
    </w:p>
    <w:p w14:paraId="1992C8D9" w14:textId="77777777" w:rsidR="00B038E3" w:rsidRPr="00AB7D45" w:rsidRDefault="00B038E3" w:rsidP="000B060D">
      <w:pPr>
        <w:ind w:left="720" w:hanging="720"/>
        <w:jc w:val="both"/>
        <w:rPr>
          <w:rFonts w:ascii="Arial" w:hAnsi="Arial" w:cs="Arial"/>
          <w:lang w:eastAsia="fr-FR"/>
        </w:rPr>
      </w:pPr>
    </w:p>
    <w:p w14:paraId="2F2FF597" w14:textId="127C52CB" w:rsidR="00B038E3" w:rsidRPr="00AB7D45" w:rsidRDefault="00B038E3" w:rsidP="000B060D">
      <w:pPr>
        <w:widowControl/>
        <w:numPr>
          <w:ilvl w:val="1"/>
          <w:numId w:val="7"/>
        </w:numPr>
        <w:ind w:left="720" w:hanging="720"/>
        <w:jc w:val="both"/>
        <w:rPr>
          <w:rFonts w:ascii="Arial" w:hAnsi="Arial" w:cs="Arial"/>
        </w:rPr>
      </w:pPr>
      <w:r>
        <w:rPr>
          <w:rFonts w:ascii="Arial" w:hAnsi="Arial"/>
          <w:b/>
        </w:rPr>
        <w:t xml:space="preserve">Iniciativa 5 </w:t>
      </w:r>
      <w:r w:rsidR="000B060D">
        <w:rPr>
          <w:rFonts w:ascii="Arial" w:hAnsi="Arial"/>
        </w:rPr>
        <w:t>–</w:t>
      </w:r>
      <w:r>
        <w:rPr>
          <w:rFonts w:ascii="Arial" w:hAnsi="Arial"/>
        </w:rPr>
        <w:t xml:space="preserve"> participar num workshop técnico dos Estados-Membros, nomeadamente o Botswana, a República Democrática do Congo (RDC), a África do Sul (SA), a Zâmbia e o Zimbabwe, dedicado ao IGMOU relativo ao Inga 3.  De modo particular, com base na sessão realizada em Dezembro de 2021, no interesse no projecto e na tecnologia proposta através do IGMOU e actualizada com números actuais.  devem estar presentes peritos oriundos das agências de utilidade pública. Rever o Memorando de Entendimento Inter-governamental (IGMOU) em conformidade, tomando nota das datas da formação, aquando da organização dessa sessão. O IGMOU do Inga 3 revisto será distribuído à Equipa Jurídica da SADC para obtenção de orientação jurídica. O IGMOU do Inga 3 revisto com contributos vindos dos Estados-Membros deverá ser entregue até ao final de </w:t>
      </w:r>
      <w:r>
        <w:rPr>
          <w:rFonts w:ascii="Arial" w:hAnsi="Arial"/>
          <w:b/>
        </w:rPr>
        <w:t>Junho de 2022</w:t>
      </w:r>
      <w:r w:rsidR="000B060D">
        <w:rPr>
          <w:rFonts w:ascii="Arial" w:hAnsi="Arial"/>
        </w:rPr>
        <w:t>;</w:t>
      </w:r>
    </w:p>
    <w:p w14:paraId="5DED63A4" w14:textId="77777777" w:rsidR="00B038E3" w:rsidRPr="00AB7D45" w:rsidRDefault="00B038E3" w:rsidP="000B060D">
      <w:pPr>
        <w:pStyle w:val="ListParagraph"/>
        <w:ind w:hanging="720"/>
        <w:rPr>
          <w:rFonts w:ascii="Arial" w:hAnsi="Arial" w:cs="Arial"/>
          <w:lang w:eastAsia="fr-FR"/>
        </w:rPr>
      </w:pPr>
    </w:p>
    <w:p w14:paraId="771476D9" w14:textId="5D0C8405" w:rsidR="00B038E3" w:rsidRPr="00AB7D45" w:rsidRDefault="00B038E3" w:rsidP="000B060D">
      <w:pPr>
        <w:widowControl/>
        <w:numPr>
          <w:ilvl w:val="1"/>
          <w:numId w:val="7"/>
        </w:numPr>
        <w:ind w:left="720" w:hanging="720"/>
        <w:jc w:val="both"/>
        <w:rPr>
          <w:rFonts w:ascii="Arial" w:hAnsi="Arial" w:cs="Arial"/>
        </w:rPr>
      </w:pPr>
      <w:r w:rsidRPr="000B060D">
        <w:rPr>
          <w:rFonts w:ascii="Arial" w:hAnsi="Arial"/>
          <w:b/>
          <w:bCs/>
        </w:rPr>
        <w:t>Iniciativa 5</w:t>
      </w:r>
      <w:r>
        <w:rPr>
          <w:rFonts w:ascii="Arial" w:hAnsi="Arial"/>
        </w:rPr>
        <w:t xml:space="preserve"> </w:t>
      </w:r>
      <w:r w:rsidR="000B060D">
        <w:rPr>
          <w:rFonts w:ascii="Arial" w:hAnsi="Arial"/>
        </w:rPr>
        <w:t>–</w:t>
      </w:r>
      <w:r>
        <w:rPr>
          <w:rFonts w:ascii="Arial" w:hAnsi="Arial"/>
        </w:rPr>
        <w:t xml:space="preserve"> elaborar uma lista de verificação que acompanhe todos os IGMOU, abrangendo a estrutura geral e o enquadramento dos IGMOU da SADC e destacando questões relativas à isenção fiscal para projectos financiados por subvenções e à validade dos IGMOU para efeitos de negociações entre os Estados-Membros da SADC. Primeiro resultado final da 1.ª Reunião do EWG abrangido pela Iniciativa 5  A ser apresentado até </w:t>
      </w:r>
      <w:r>
        <w:rPr>
          <w:rFonts w:ascii="Arial" w:hAnsi="Arial"/>
          <w:b/>
        </w:rPr>
        <w:t>Julho de 2022</w:t>
      </w:r>
      <w:r>
        <w:rPr>
          <w:rFonts w:ascii="Arial" w:hAnsi="Arial"/>
        </w:rPr>
        <w:t>.</w:t>
      </w:r>
    </w:p>
    <w:p w14:paraId="60243672" w14:textId="77777777" w:rsidR="00B038E3" w:rsidRPr="00061FCD" w:rsidRDefault="00B038E3">
      <w:pPr>
        <w:pStyle w:val="Bodytext10"/>
        <w:shd w:val="clear" w:color="auto" w:fill="auto"/>
        <w:spacing w:line="257" w:lineRule="auto"/>
        <w:rPr>
          <w:rFonts w:ascii="Arial" w:hAnsi="Arial" w:cs="Arial"/>
          <w:sz w:val="24"/>
          <w:szCs w:val="24"/>
        </w:rPr>
      </w:pPr>
    </w:p>
    <w:sectPr w:rsidR="00B038E3" w:rsidRPr="00061FCD">
      <w:type w:val="continuous"/>
      <w:pgSz w:w="11900" w:h="16840"/>
      <w:pgMar w:top="1417" w:right="1397" w:bottom="1265" w:left="1393" w:header="98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64CF3" w14:textId="77777777" w:rsidR="001923C9" w:rsidRDefault="001923C9">
      <w:r>
        <w:separator/>
      </w:r>
    </w:p>
  </w:endnote>
  <w:endnote w:type="continuationSeparator" w:id="0">
    <w:p w14:paraId="2D0CC120" w14:textId="77777777" w:rsidR="001923C9" w:rsidRDefault="0019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80CF4" w14:textId="77777777" w:rsidR="00525029" w:rsidRDefault="00AF6EF5">
    <w:pPr>
      <w:spacing w:line="1" w:lineRule="exact"/>
    </w:pPr>
    <w:r>
      <w:rPr>
        <w:noProof/>
        <w:lang w:val="en-ZA" w:eastAsia="en-ZA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E6FDEA4" wp14:editId="34BD09E7">
              <wp:simplePos x="0" y="0"/>
              <wp:positionH relativeFrom="page">
                <wp:posOffset>6117590</wp:posOffset>
              </wp:positionH>
              <wp:positionV relativeFrom="page">
                <wp:posOffset>10159365</wp:posOffset>
              </wp:positionV>
              <wp:extent cx="402590" cy="1155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59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31B1F7" w14:textId="01FB4E23" w:rsidR="00525029" w:rsidRDefault="00AF6EF5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Arial" w:hAnsi="Arial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54173" w:rsidRPr="00354173">
                            <w:rPr>
                              <w:rFonts w:ascii="Arial" w:eastAsia="Arial" w:hAnsi="Arial" w:cs="Arial"/>
                              <w:noProof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FDEA4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481.7pt;margin-top:799.95pt;width:31.7pt;height:9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" filled="f" stroked="f">
              <v:textbox style="mso-fit-shape-to-text:t" inset="0,0,0,0">
                <w:txbxContent>
                  <w:p w14:paraId="5331B1F7" w14:textId="01FB4E23" w:rsidR="00525029" w:rsidRDefault="00AF6EF5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Arial" w:hAnsi="Arial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54173" w:rsidRPr="00354173">
                      <w:rPr>
                        <w:rFonts w:ascii="Arial" w:eastAsia="Arial" w:hAnsi="Arial" w:cs="Arial"/>
                        <w:noProof/>
                      </w:rPr>
                      <w:t>6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0C8CB" w14:textId="77777777" w:rsidR="001923C9" w:rsidRDefault="001923C9"/>
  </w:footnote>
  <w:footnote w:type="continuationSeparator" w:id="0">
    <w:p w14:paraId="2D633874" w14:textId="77777777" w:rsidR="001923C9" w:rsidRDefault="001923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253"/>
    <w:multiLevelType w:val="multilevel"/>
    <w:tmpl w:val="15327A5C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b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</w:abstractNum>
  <w:abstractNum w:abstractNumId="1" w15:restartNumberingAfterBreak="0">
    <w:nsid w:val="05762FD9"/>
    <w:multiLevelType w:val="multilevel"/>
    <w:tmpl w:val="95181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ascii="Arial" w:hAnsi="Arial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20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8" w:hanging="1800"/>
      </w:pPr>
      <w:rPr>
        <w:rFonts w:hint="default"/>
      </w:rPr>
    </w:lvl>
  </w:abstractNum>
  <w:abstractNum w:abstractNumId="2" w15:restartNumberingAfterBreak="0">
    <w:nsid w:val="080B2BB2"/>
    <w:multiLevelType w:val="multilevel"/>
    <w:tmpl w:val="EE7EDC10"/>
    <w:lvl w:ilvl="0">
      <w:start w:val="1"/>
      <w:numFmt w:val="lowerRoman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3D11B5"/>
    <w:multiLevelType w:val="multilevel"/>
    <w:tmpl w:val="0BF62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C786ED5"/>
    <w:multiLevelType w:val="multilevel"/>
    <w:tmpl w:val="78EA2402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="Times New Roman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</w:abstractNum>
  <w:abstractNum w:abstractNumId="5" w15:restartNumberingAfterBreak="0">
    <w:nsid w:val="1E927598"/>
    <w:multiLevelType w:val="multilevel"/>
    <w:tmpl w:val="15327A5C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b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</w:abstractNum>
  <w:abstractNum w:abstractNumId="6" w15:restartNumberingAfterBreak="0">
    <w:nsid w:val="27297875"/>
    <w:multiLevelType w:val="multilevel"/>
    <w:tmpl w:val="3086CE1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lowerRoman"/>
      <w:pStyle w:val="Heading3"/>
      <w:lvlText w:val="(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B3433F5"/>
    <w:multiLevelType w:val="multilevel"/>
    <w:tmpl w:val="1DC21D44"/>
    <w:lvl w:ilvl="0">
      <w:start w:val="1"/>
      <w:numFmt w:val="lowerRoman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346A3A"/>
    <w:multiLevelType w:val="multilevel"/>
    <w:tmpl w:val="79FC2742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="Times New Roman" w:hAnsi="Arial" w:cs="Arial" w:hint="default"/>
        <w:b/>
        <w:bCs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sz w:val="24"/>
      </w:rPr>
    </w:lvl>
  </w:abstractNum>
  <w:abstractNum w:abstractNumId="9" w15:restartNumberingAfterBreak="0">
    <w:nsid w:val="352C05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4C4D3B"/>
    <w:multiLevelType w:val="hybridMultilevel"/>
    <w:tmpl w:val="8D22F1FA"/>
    <w:lvl w:ilvl="0" w:tplc="ED80E932">
      <w:start w:val="1"/>
      <w:numFmt w:val="lowerRoman"/>
      <w:lvlText w:val="(%1)"/>
      <w:lvlJc w:val="left"/>
      <w:pPr>
        <w:ind w:left="142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20D60">
      <w:start w:val="1"/>
      <w:numFmt w:val="lowerRoman"/>
      <w:lvlText w:val="(%4)"/>
      <w:lvlJc w:val="left"/>
      <w:pPr>
        <w:ind w:left="2880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50D79"/>
    <w:multiLevelType w:val="multilevel"/>
    <w:tmpl w:val="2E4CA6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</w:abstractNum>
  <w:abstractNum w:abstractNumId="12" w15:restartNumberingAfterBreak="0">
    <w:nsid w:val="4D8F1BA3"/>
    <w:multiLevelType w:val="hybridMultilevel"/>
    <w:tmpl w:val="D466D3FC"/>
    <w:lvl w:ilvl="0" w:tplc="6D24990E">
      <w:start w:val="1"/>
      <w:numFmt w:val="lowerRoman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0370D"/>
    <w:multiLevelType w:val="multilevel"/>
    <w:tmpl w:val="76A4D3BC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 w:hint="default"/>
        <w:b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eastAsia="Times New Roman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</w:abstractNum>
  <w:abstractNum w:abstractNumId="14" w15:restartNumberingAfterBreak="0">
    <w:nsid w:val="557E0360"/>
    <w:multiLevelType w:val="multilevel"/>
    <w:tmpl w:val="FCB42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D50750"/>
    <w:multiLevelType w:val="hybridMultilevel"/>
    <w:tmpl w:val="4C469E64"/>
    <w:lvl w:ilvl="0" w:tplc="ED80E932">
      <w:start w:val="1"/>
      <w:numFmt w:val="lowerRoman"/>
      <w:lvlText w:val="(%1)"/>
      <w:lvlJc w:val="left"/>
      <w:pPr>
        <w:ind w:left="114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8917800"/>
    <w:multiLevelType w:val="hybridMultilevel"/>
    <w:tmpl w:val="CB08746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814162E"/>
    <w:multiLevelType w:val="multilevel"/>
    <w:tmpl w:val="4852C262"/>
    <w:lvl w:ilvl="0">
      <w:start w:val="1"/>
      <w:numFmt w:val="lowerRoman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AD008E2"/>
    <w:multiLevelType w:val="multilevel"/>
    <w:tmpl w:val="2E4CA6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Times New Roman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Times New Roman" w:hAnsi="Arial" w:cs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Times New Roman" w:hAnsi="Arial" w:cs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Times New Roman" w:hAnsi="Arial" w:cs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Times New Roman" w:hAnsi="Arial" w:cs="Arial" w:hint="default"/>
        <w:b/>
        <w:sz w:val="24"/>
      </w:rPr>
    </w:lvl>
  </w:abstractNum>
  <w:abstractNum w:abstractNumId="19" w15:restartNumberingAfterBreak="0">
    <w:nsid w:val="6D867837"/>
    <w:multiLevelType w:val="multilevel"/>
    <w:tmpl w:val="48A8DFFC"/>
    <w:lvl w:ilvl="0">
      <w:start w:val="1"/>
      <w:numFmt w:val="lowerLetter"/>
      <w:lvlText w:val="(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6A3A25"/>
    <w:multiLevelType w:val="hybridMultilevel"/>
    <w:tmpl w:val="18BC2E16"/>
    <w:lvl w:ilvl="0" w:tplc="A516E7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4C68D4"/>
    <w:multiLevelType w:val="hybridMultilevel"/>
    <w:tmpl w:val="7DDE2B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24522"/>
    <w:multiLevelType w:val="hybridMultilevel"/>
    <w:tmpl w:val="BA9A360C"/>
    <w:lvl w:ilvl="0" w:tplc="ED80E93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9"/>
  </w:num>
  <w:num w:numId="5">
    <w:abstractNumId w:val="9"/>
  </w:num>
  <w:num w:numId="6">
    <w:abstractNumId w:val="14"/>
  </w:num>
  <w:num w:numId="7">
    <w:abstractNumId w:val="2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0"/>
  </w:num>
  <w:num w:numId="13">
    <w:abstractNumId w:val="11"/>
  </w:num>
  <w:num w:numId="14">
    <w:abstractNumId w:val="13"/>
  </w:num>
  <w:num w:numId="15">
    <w:abstractNumId w:val="4"/>
  </w:num>
  <w:num w:numId="16">
    <w:abstractNumId w:val="18"/>
  </w:num>
  <w:num w:numId="17">
    <w:abstractNumId w:val="6"/>
  </w:num>
  <w:num w:numId="18">
    <w:abstractNumId w:val="1"/>
  </w:num>
  <w:num w:numId="19">
    <w:abstractNumId w:val="12"/>
  </w:num>
  <w:num w:numId="20">
    <w:abstractNumId w:val="10"/>
  </w:num>
  <w:num w:numId="21">
    <w:abstractNumId w:val="15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ZA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ZA" w:vendorID="64" w:dllVersion="4096" w:nlCheck="1" w:checkStyle="0"/>
  <w:proofState w:spelling="clean" w:grammar="clean"/>
  <w:doNotTrackMoves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029"/>
    <w:rsid w:val="00000A51"/>
    <w:rsid w:val="00004161"/>
    <w:rsid w:val="0001704B"/>
    <w:rsid w:val="00017F3C"/>
    <w:rsid w:val="000377D8"/>
    <w:rsid w:val="00050296"/>
    <w:rsid w:val="00061FCD"/>
    <w:rsid w:val="0006300D"/>
    <w:rsid w:val="00084378"/>
    <w:rsid w:val="00084BC9"/>
    <w:rsid w:val="000941A0"/>
    <w:rsid w:val="000B060D"/>
    <w:rsid w:val="000D615C"/>
    <w:rsid w:val="000E7F13"/>
    <w:rsid w:val="00123B6D"/>
    <w:rsid w:val="00131B02"/>
    <w:rsid w:val="00135DAA"/>
    <w:rsid w:val="0015001C"/>
    <w:rsid w:val="00152CA4"/>
    <w:rsid w:val="00170B6A"/>
    <w:rsid w:val="001923C9"/>
    <w:rsid w:val="001A411B"/>
    <w:rsid w:val="001C4A87"/>
    <w:rsid w:val="001C5DFD"/>
    <w:rsid w:val="002119E7"/>
    <w:rsid w:val="0022671B"/>
    <w:rsid w:val="00247DDB"/>
    <w:rsid w:val="00274990"/>
    <w:rsid w:val="00285043"/>
    <w:rsid w:val="00290FA4"/>
    <w:rsid w:val="002A078F"/>
    <w:rsid w:val="002A78CC"/>
    <w:rsid w:val="002C7611"/>
    <w:rsid w:val="002D4EBC"/>
    <w:rsid w:val="002D716E"/>
    <w:rsid w:val="002F4AD9"/>
    <w:rsid w:val="00354173"/>
    <w:rsid w:val="003644E8"/>
    <w:rsid w:val="00365FB5"/>
    <w:rsid w:val="003776FC"/>
    <w:rsid w:val="0038661C"/>
    <w:rsid w:val="003B013C"/>
    <w:rsid w:val="003B11B4"/>
    <w:rsid w:val="003D3048"/>
    <w:rsid w:val="003E497F"/>
    <w:rsid w:val="003F4597"/>
    <w:rsid w:val="00441C93"/>
    <w:rsid w:val="0045147D"/>
    <w:rsid w:val="004546D0"/>
    <w:rsid w:val="00461B3D"/>
    <w:rsid w:val="004900C8"/>
    <w:rsid w:val="004947D0"/>
    <w:rsid w:val="004B2022"/>
    <w:rsid w:val="004B4B9D"/>
    <w:rsid w:val="004D4A7C"/>
    <w:rsid w:val="004F0408"/>
    <w:rsid w:val="004F3ED0"/>
    <w:rsid w:val="00503435"/>
    <w:rsid w:val="0050572D"/>
    <w:rsid w:val="00511106"/>
    <w:rsid w:val="00525029"/>
    <w:rsid w:val="005340F3"/>
    <w:rsid w:val="0053479A"/>
    <w:rsid w:val="00536AB6"/>
    <w:rsid w:val="00543AEB"/>
    <w:rsid w:val="00565C43"/>
    <w:rsid w:val="00586D1C"/>
    <w:rsid w:val="005B6636"/>
    <w:rsid w:val="005C0D49"/>
    <w:rsid w:val="005D0D60"/>
    <w:rsid w:val="005E6D6B"/>
    <w:rsid w:val="006069BF"/>
    <w:rsid w:val="00702235"/>
    <w:rsid w:val="00723E47"/>
    <w:rsid w:val="00780BC3"/>
    <w:rsid w:val="007A0D85"/>
    <w:rsid w:val="007B3FB8"/>
    <w:rsid w:val="007B7534"/>
    <w:rsid w:val="007B7C1E"/>
    <w:rsid w:val="007C5B16"/>
    <w:rsid w:val="0080658E"/>
    <w:rsid w:val="00811B08"/>
    <w:rsid w:val="008506BF"/>
    <w:rsid w:val="00873B19"/>
    <w:rsid w:val="008973E1"/>
    <w:rsid w:val="008D71E7"/>
    <w:rsid w:val="008E57B9"/>
    <w:rsid w:val="00914D03"/>
    <w:rsid w:val="009226DB"/>
    <w:rsid w:val="00941130"/>
    <w:rsid w:val="0095236D"/>
    <w:rsid w:val="00971357"/>
    <w:rsid w:val="00974739"/>
    <w:rsid w:val="00987DA8"/>
    <w:rsid w:val="00997E86"/>
    <w:rsid w:val="00A1182C"/>
    <w:rsid w:val="00A432A1"/>
    <w:rsid w:val="00A44B4C"/>
    <w:rsid w:val="00AB7D45"/>
    <w:rsid w:val="00AD175D"/>
    <w:rsid w:val="00AE2010"/>
    <w:rsid w:val="00AF6EF5"/>
    <w:rsid w:val="00B038E3"/>
    <w:rsid w:val="00B432B5"/>
    <w:rsid w:val="00B66C41"/>
    <w:rsid w:val="00B73381"/>
    <w:rsid w:val="00BC0AD6"/>
    <w:rsid w:val="00BE1D1B"/>
    <w:rsid w:val="00BE618E"/>
    <w:rsid w:val="00C22289"/>
    <w:rsid w:val="00C22D30"/>
    <w:rsid w:val="00C308BB"/>
    <w:rsid w:val="00C40B3A"/>
    <w:rsid w:val="00C656CA"/>
    <w:rsid w:val="00C90783"/>
    <w:rsid w:val="00C94AF4"/>
    <w:rsid w:val="00CA6CCB"/>
    <w:rsid w:val="00CB140C"/>
    <w:rsid w:val="00CF4BC6"/>
    <w:rsid w:val="00D07FD6"/>
    <w:rsid w:val="00D224E3"/>
    <w:rsid w:val="00D47239"/>
    <w:rsid w:val="00D525E7"/>
    <w:rsid w:val="00D53528"/>
    <w:rsid w:val="00D62A7E"/>
    <w:rsid w:val="00D67C43"/>
    <w:rsid w:val="00D84306"/>
    <w:rsid w:val="00D929CA"/>
    <w:rsid w:val="00D93DF9"/>
    <w:rsid w:val="00DA3DC0"/>
    <w:rsid w:val="00DC1413"/>
    <w:rsid w:val="00DF738F"/>
    <w:rsid w:val="00E1331D"/>
    <w:rsid w:val="00E14C09"/>
    <w:rsid w:val="00E77BB8"/>
    <w:rsid w:val="00F04508"/>
    <w:rsid w:val="00F2774E"/>
    <w:rsid w:val="00F62B59"/>
    <w:rsid w:val="00F972FC"/>
    <w:rsid w:val="00F9780C"/>
    <w:rsid w:val="00FB64F3"/>
    <w:rsid w:val="00FC43BA"/>
    <w:rsid w:val="00FD622A"/>
    <w:rsid w:val="00FE4888"/>
    <w:rsid w:val="00FE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851F1"/>
  <w15:docId w15:val="{4EBD870C-8F1C-4E31-A17D-EE0DF457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PT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0FA4"/>
    <w:pPr>
      <w:keepNext/>
      <w:keepLines/>
      <w:widowControl/>
      <w:numPr>
        <w:numId w:val="17"/>
      </w:numPr>
      <w:spacing w:before="480" w:line="276" w:lineRule="auto"/>
      <w:outlineLvl w:val="0"/>
    </w:pPr>
    <w:rPr>
      <w:rFonts w:ascii="Arial" w:eastAsiaTheme="majorEastAsia" w:hAnsi="Arial" w:cstheme="majorBidi"/>
      <w:b/>
      <w:bCs/>
      <w:color w:val="auto"/>
      <w:sz w:val="26"/>
      <w:szCs w:val="28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0FA4"/>
    <w:pPr>
      <w:keepNext/>
      <w:keepLines/>
      <w:widowControl/>
      <w:numPr>
        <w:ilvl w:val="1"/>
        <w:numId w:val="17"/>
      </w:numPr>
      <w:spacing w:before="200" w:after="120" w:line="276" w:lineRule="auto"/>
      <w:outlineLvl w:val="1"/>
    </w:pPr>
    <w:rPr>
      <w:rFonts w:ascii="Arial" w:eastAsiaTheme="majorEastAsia" w:hAnsi="Arial" w:cstheme="majorBidi"/>
      <w:b/>
      <w:bCs/>
      <w:color w:val="auto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0FA4"/>
    <w:pPr>
      <w:keepNext/>
      <w:keepLines/>
      <w:widowControl/>
      <w:numPr>
        <w:ilvl w:val="2"/>
        <w:numId w:val="17"/>
      </w:numPr>
      <w:spacing w:before="320" w:after="120" w:line="276" w:lineRule="auto"/>
      <w:outlineLvl w:val="2"/>
    </w:pPr>
    <w:rPr>
      <w:rFonts w:ascii="Arial" w:eastAsiaTheme="majorEastAsia" w:hAnsi="Arial" w:cstheme="majorBidi"/>
      <w:b/>
      <w:bCs/>
      <w:color w:val="auto"/>
      <w:sz w:val="22"/>
      <w:szCs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FA4"/>
    <w:pPr>
      <w:keepNext/>
      <w:keepLines/>
      <w:widowControl/>
      <w:numPr>
        <w:ilvl w:val="3"/>
        <w:numId w:val="17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FA4"/>
    <w:pPr>
      <w:keepNext/>
      <w:keepLines/>
      <w:widowControl/>
      <w:numPr>
        <w:ilvl w:val="4"/>
        <w:numId w:val="17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FA4"/>
    <w:pPr>
      <w:keepNext/>
      <w:keepLines/>
      <w:widowControl/>
      <w:numPr>
        <w:ilvl w:val="5"/>
        <w:numId w:val="17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FA4"/>
    <w:pPr>
      <w:keepNext/>
      <w:keepLines/>
      <w:widowControl/>
      <w:numPr>
        <w:ilvl w:val="6"/>
        <w:numId w:val="17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FA4"/>
    <w:pPr>
      <w:keepNext/>
      <w:keepLines/>
      <w:widowControl/>
      <w:numPr>
        <w:ilvl w:val="7"/>
        <w:numId w:val="17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FA4"/>
    <w:pPr>
      <w:keepNext/>
      <w:keepLines/>
      <w:widowControl/>
      <w:numPr>
        <w:ilvl w:val="8"/>
        <w:numId w:val="17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2">
    <w:name w:val="Header or footer|2_"/>
    <w:basedOn w:val="DefaultParagraphFont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1">
    <w:name w:val="Heading #1|1_"/>
    <w:basedOn w:val="DefaultParagraphFont"/>
    <w:link w:val="Heading1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1">
    <w:name w:val="Body text|1_"/>
    <w:basedOn w:val="DefaultParagraphFont"/>
    <w:link w:val="Bodytext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1">
    <w:name w:val="Heading #2|1_"/>
    <w:basedOn w:val="DefaultParagraphFont"/>
    <w:link w:val="Heading2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1">
    <w:name w:val="Table caption|1_"/>
    <w:basedOn w:val="DefaultParagraphFont"/>
    <w:link w:val="Tablecaption1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DefaultParagraphFont"/>
    <w:link w:val="Other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erorfooter20">
    <w:name w:val="Header or footer|2"/>
    <w:basedOn w:val="Normal"/>
    <w:link w:val="Headerorfooter2"/>
    <w:pPr>
      <w:shd w:val="clear" w:color="auto" w:fill="FFFFFF"/>
    </w:pPr>
    <w:rPr>
      <w:sz w:val="20"/>
      <w:szCs w:val="20"/>
    </w:rPr>
  </w:style>
  <w:style w:type="paragraph" w:customStyle="1" w:styleId="Bodytext20">
    <w:name w:val="Body text|2"/>
    <w:basedOn w:val="Normal"/>
    <w:link w:val="Bodytext2"/>
    <w:pPr>
      <w:shd w:val="clear" w:color="auto" w:fill="FFFFFF"/>
      <w:spacing w:after="50" w:line="288" w:lineRule="auto"/>
      <w:jc w:val="center"/>
    </w:pPr>
    <w:rPr>
      <w:rFonts w:ascii="Calibri" w:eastAsia="Calibri" w:hAnsi="Calibri" w:cs="Calibri"/>
      <w:sz w:val="32"/>
      <w:szCs w:val="32"/>
    </w:rPr>
  </w:style>
  <w:style w:type="paragraph" w:customStyle="1" w:styleId="Heading110">
    <w:name w:val="Heading #1|1"/>
    <w:basedOn w:val="Normal"/>
    <w:link w:val="Heading11"/>
    <w:pPr>
      <w:shd w:val="clear" w:color="auto" w:fill="FFFFFF"/>
      <w:spacing w:line="271" w:lineRule="auto"/>
      <w:ind w:left="140"/>
      <w:outlineLvl w:val="0"/>
    </w:pPr>
    <w:rPr>
      <w:rFonts w:ascii="Calibri" w:eastAsia="Calibri" w:hAnsi="Calibri" w:cs="Calibri"/>
      <w:sz w:val="36"/>
      <w:szCs w:val="36"/>
    </w:rPr>
  </w:style>
  <w:style w:type="paragraph" w:customStyle="1" w:styleId="Bodytext10">
    <w:name w:val="Body text|1"/>
    <w:basedOn w:val="Normal"/>
    <w:link w:val="Bodytext1"/>
    <w:pPr>
      <w:shd w:val="clear" w:color="auto" w:fill="FFFFFF"/>
      <w:spacing w:after="16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Heading210">
    <w:name w:val="Heading #2|1"/>
    <w:basedOn w:val="Normal"/>
    <w:link w:val="Heading21"/>
    <w:pPr>
      <w:shd w:val="clear" w:color="auto" w:fill="FFFFFF"/>
      <w:spacing w:after="160" w:line="254" w:lineRule="auto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ablecaption10">
    <w:name w:val="Table caption|1"/>
    <w:basedOn w:val="Normal"/>
    <w:link w:val="Tablecaption1"/>
    <w:pPr>
      <w:shd w:val="clear" w:color="auto" w:fill="FFFFFF"/>
      <w:spacing w:line="257" w:lineRule="auto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Other10">
    <w:name w:val="Other|1"/>
    <w:basedOn w:val="Normal"/>
    <w:link w:val="Other1"/>
    <w:pPr>
      <w:shd w:val="clear" w:color="auto" w:fill="FFFFFF"/>
      <w:spacing w:after="160" w:line="254" w:lineRule="auto"/>
    </w:pPr>
    <w:rPr>
      <w:rFonts w:ascii="Calibri" w:eastAsia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EF5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8D71E7"/>
    <w:pPr>
      <w:widowControl/>
      <w:autoSpaceDE w:val="0"/>
      <w:autoSpaceDN w:val="0"/>
      <w:adjustRightInd w:val="0"/>
    </w:pPr>
    <w:rPr>
      <w:rFonts w:ascii="Arial Narrow" w:eastAsiaTheme="minorHAnsi" w:hAnsi="Arial Narrow" w:cs="Arial Narrow"/>
      <w:color w:val="000000"/>
      <w:lang w:bidi="ar-SA"/>
    </w:rPr>
  </w:style>
  <w:style w:type="paragraph" w:styleId="ListParagraph">
    <w:name w:val="List Paragraph"/>
    <w:aliases w:val="List Bulet,AB List 1,Bullet Points,ProcessA,Liste couleur - Accent 1,Liste couleur - Accent 14,Bullets,List Bullet Mary,normal,Normal1,Normal2,Normal3,Normal4,Normal5,Normal6,Normal7,Normal8,Normal9,Normal10,Normal11,Normal12,Normal13,Ha"/>
    <w:basedOn w:val="Normal"/>
    <w:link w:val="ListParagraphChar"/>
    <w:uiPriority w:val="34"/>
    <w:qFormat/>
    <w:rsid w:val="008D71E7"/>
    <w:pPr>
      <w:widowControl/>
      <w:ind w:left="720"/>
      <w:contextualSpacing/>
    </w:pPr>
    <w:rPr>
      <w:color w:val="auto"/>
      <w:lang w:eastAsia="en-GB" w:bidi="ar-SA"/>
    </w:rPr>
  </w:style>
  <w:style w:type="character" w:customStyle="1" w:styleId="ListParagraphChar">
    <w:name w:val="List Paragraph Char"/>
    <w:aliases w:val="List Bulet Char,AB List 1 Char,Bullet Points Char,ProcessA Char,Liste couleur - Accent 1 Char,Liste couleur - Accent 14 Char,Bullets Char,List Bullet Mary Char,normal Char,Normal1 Char,Normal2 Char,Normal3 Char,Normal4 Char,Ha Char"/>
    <w:link w:val="ListParagraph"/>
    <w:uiPriority w:val="34"/>
    <w:qFormat/>
    <w:locked/>
    <w:rsid w:val="008D71E7"/>
    <w:rPr>
      <w:lang w:val="pt-PT" w:eastAsia="en-GB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D17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7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75D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7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75D"/>
    <w:rPr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0377D8"/>
    <w:pPr>
      <w:widowControl/>
    </w:pPr>
    <w:rPr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290FA4"/>
    <w:rPr>
      <w:rFonts w:ascii="Arial" w:eastAsiaTheme="majorEastAsia" w:hAnsi="Arial" w:cstheme="majorBidi"/>
      <w:b/>
      <w:bCs/>
      <w:sz w:val="26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290FA4"/>
    <w:rPr>
      <w:rFonts w:ascii="Arial" w:eastAsiaTheme="majorEastAsia" w:hAnsi="Arial" w:cstheme="majorBidi"/>
      <w:b/>
      <w:bCs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290FA4"/>
    <w:rPr>
      <w:rFonts w:ascii="Arial" w:eastAsiaTheme="majorEastAsia" w:hAnsi="Arial" w:cstheme="majorBidi"/>
      <w:b/>
      <w:bCs/>
      <w:sz w:val="22"/>
      <w:szCs w:val="2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FA4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FA4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FA4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FA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F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F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D525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0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hembekani.luthuli@sapp.co.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Joy Phiri</cp:lastModifiedBy>
  <cp:revision>3</cp:revision>
  <dcterms:created xsi:type="dcterms:W3CDTF">2022-04-04T14:47:00Z</dcterms:created>
  <dcterms:modified xsi:type="dcterms:W3CDTF">2022-04-13T09:57:00Z</dcterms:modified>
</cp:coreProperties>
</file>