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DE897" w14:textId="000B3DA6" w:rsidR="00525029" w:rsidRDefault="00AF6EF5">
      <w:pPr>
        <w:spacing w:line="360" w:lineRule="exact"/>
      </w:pPr>
      <w:r>
        <w:rPr>
          <w:noProof/>
          <w:lang w:val="en-ZA" w:eastAsia="en-ZA" w:bidi="ar-SA"/>
        </w:rPr>
        <w:drawing>
          <wp:anchor distT="0" distB="0" distL="0" distR="0" simplePos="0" relativeHeight="62914690" behindDoc="1" locked="0" layoutInCell="1" allowOverlap="1" wp14:anchorId="017C9C4B" wp14:editId="2D256FF3">
            <wp:simplePos x="0" y="0"/>
            <wp:positionH relativeFrom="margin">
              <wp:align>center</wp:align>
            </wp:positionH>
            <wp:positionV relativeFrom="margin">
              <wp:align>top</wp:align>
            </wp:positionV>
            <wp:extent cx="1225550" cy="11887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225550" cy="1188720"/>
                    </a:xfrm>
                    <a:prstGeom prst="rect">
                      <a:avLst/>
                    </a:prstGeom>
                  </pic:spPr>
                </pic:pic>
              </a:graphicData>
            </a:graphic>
          </wp:anchor>
        </w:drawing>
      </w:r>
    </w:p>
    <w:p w14:paraId="46B0E1DD" w14:textId="77777777" w:rsidR="00525029" w:rsidRDefault="00525029">
      <w:pPr>
        <w:spacing w:line="360" w:lineRule="exact"/>
      </w:pPr>
    </w:p>
    <w:p w14:paraId="0AD5C29D" w14:textId="77777777" w:rsidR="00525029" w:rsidRDefault="00525029">
      <w:pPr>
        <w:spacing w:line="360" w:lineRule="exact"/>
      </w:pPr>
    </w:p>
    <w:p w14:paraId="4597C705" w14:textId="77777777" w:rsidR="00525029" w:rsidRDefault="00525029">
      <w:pPr>
        <w:spacing w:line="360" w:lineRule="exact"/>
      </w:pPr>
    </w:p>
    <w:p w14:paraId="6ABAD751" w14:textId="77777777" w:rsidR="00525029" w:rsidRDefault="00525029">
      <w:pPr>
        <w:spacing w:after="426" w:line="1" w:lineRule="exact"/>
      </w:pPr>
    </w:p>
    <w:p w14:paraId="1CE329BA" w14:textId="104778F9" w:rsidR="000D615C" w:rsidRDefault="000D615C">
      <w:pPr>
        <w:spacing w:line="1" w:lineRule="exact"/>
        <w:rPr>
          <w:rFonts w:ascii="Arial" w:hAnsi="Arial" w:cs="Arial"/>
        </w:rPr>
      </w:pPr>
    </w:p>
    <w:p w14:paraId="20F8AF0B" w14:textId="3447D3FF" w:rsidR="000D615C" w:rsidRDefault="000D615C" w:rsidP="000377D8">
      <w:pPr>
        <w:tabs>
          <w:tab w:val="left" w:pos="6882"/>
        </w:tabs>
        <w:rPr>
          <w:rFonts w:ascii="Arial" w:hAnsi="Arial" w:cs="Arial"/>
        </w:rPr>
      </w:pPr>
      <w:r>
        <w:rPr>
          <w:rFonts w:ascii="Arial" w:hAnsi="Arial"/>
        </w:rPr>
        <w:tab/>
      </w:r>
    </w:p>
    <w:p w14:paraId="429CAEEF" w14:textId="0C2669DF" w:rsidR="0095236D" w:rsidRDefault="0095236D" w:rsidP="000377D8">
      <w:pPr>
        <w:tabs>
          <w:tab w:val="left" w:pos="6882"/>
        </w:tabs>
        <w:rPr>
          <w:rFonts w:ascii="Arial" w:hAnsi="Arial" w:cs="Arial"/>
        </w:rPr>
      </w:pPr>
    </w:p>
    <w:p w14:paraId="38B8473C" w14:textId="0EB0D7C5" w:rsidR="0095236D" w:rsidRDefault="0095236D" w:rsidP="000377D8">
      <w:pPr>
        <w:tabs>
          <w:tab w:val="left" w:pos="6882"/>
        </w:tabs>
        <w:rPr>
          <w:rFonts w:ascii="Arial" w:hAnsi="Arial" w:cs="Arial"/>
        </w:rPr>
      </w:pPr>
    </w:p>
    <w:p w14:paraId="315252D8" w14:textId="32BD7492" w:rsidR="0095236D" w:rsidRDefault="0095236D" w:rsidP="000377D8">
      <w:pPr>
        <w:tabs>
          <w:tab w:val="left" w:pos="6882"/>
        </w:tabs>
        <w:rPr>
          <w:rFonts w:ascii="Arial" w:hAnsi="Arial" w:cs="Arial"/>
        </w:rPr>
      </w:pPr>
    </w:p>
    <w:p w14:paraId="292DE2C7" w14:textId="7F341E70" w:rsidR="0095236D" w:rsidRDefault="0095236D" w:rsidP="000377D8">
      <w:pPr>
        <w:tabs>
          <w:tab w:val="left" w:pos="6882"/>
        </w:tabs>
        <w:rPr>
          <w:rFonts w:ascii="Arial" w:hAnsi="Arial" w:cs="Arial"/>
        </w:rPr>
      </w:pPr>
    </w:p>
    <w:p w14:paraId="0D80A467" w14:textId="18C9538F" w:rsidR="0095236D" w:rsidRDefault="0095236D" w:rsidP="000377D8">
      <w:pPr>
        <w:tabs>
          <w:tab w:val="left" w:pos="6882"/>
        </w:tabs>
        <w:rPr>
          <w:rFonts w:ascii="Arial" w:hAnsi="Arial" w:cs="Arial"/>
        </w:rPr>
      </w:pPr>
    </w:p>
    <w:p w14:paraId="7E975B61" w14:textId="0FFBF0E7" w:rsidR="0095236D" w:rsidRDefault="0095236D" w:rsidP="000377D8">
      <w:pPr>
        <w:tabs>
          <w:tab w:val="left" w:pos="6882"/>
        </w:tabs>
        <w:rPr>
          <w:rFonts w:ascii="Arial" w:hAnsi="Arial" w:cs="Arial"/>
        </w:rPr>
      </w:pPr>
    </w:p>
    <w:p w14:paraId="4F558CEF" w14:textId="3FB52B1A" w:rsidR="0095236D" w:rsidRDefault="0095236D" w:rsidP="000377D8">
      <w:pPr>
        <w:tabs>
          <w:tab w:val="left" w:pos="6882"/>
        </w:tabs>
        <w:rPr>
          <w:rFonts w:ascii="Arial" w:hAnsi="Arial" w:cs="Arial"/>
        </w:rPr>
      </w:pPr>
    </w:p>
    <w:p w14:paraId="244352E6" w14:textId="5A027C34" w:rsidR="0095236D" w:rsidRDefault="0095236D" w:rsidP="000377D8">
      <w:pPr>
        <w:tabs>
          <w:tab w:val="left" w:pos="6882"/>
        </w:tabs>
        <w:rPr>
          <w:rFonts w:ascii="Arial" w:hAnsi="Arial" w:cs="Arial"/>
        </w:rPr>
      </w:pPr>
    </w:p>
    <w:p w14:paraId="2C63C736" w14:textId="61C0C415" w:rsidR="0095236D" w:rsidRDefault="0095236D" w:rsidP="000377D8">
      <w:pPr>
        <w:tabs>
          <w:tab w:val="left" w:pos="6882"/>
        </w:tabs>
        <w:rPr>
          <w:rFonts w:ascii="Arial" w:hAnsi="Arial" w:cs="Arial"/>
        </w:rPr>
      </w:pPr>
    </w:p>
    <w:p w14:paraId="3B2F3711" w14:textId="4CA1DA8F" w:rsidR="0095236D" w:rsidRDefault="0095236D" w:rsidP="000377D8">
      <w:pPr>
        <w:tabs>
          <w:tab w:val="left" w:pos="6882"/>
        </w:tabs>
        <w:rPr>
          <w:rFonts w:ascii="Arial" w:hAnsi="Arial" w:cs="Arial"/>
        </w:rPr>
      </w:pPr>
    </w:p>
    <w:p w14:paraId="784A7930" w14:textId="77777777" w:rsidR="0095236D" w:rsidRDefault="0095236D" w:rsidP="000377D8">
      <w:pPr>
        <w:tabs>
          <w:tab w:val="left" w:pos="6882"/>
        </w:tabs>
        <w:rPr>
          <w:rFonts w:ascii="Arial" w:hAnsi="Arial" w:cs="Arial"/>
        </w:rPr>
      </w:pPr>
    </w:p>
    <w:p w14:paraId="7D6A7924" w14:textId="2CAE55F2" w:rsidR="00543AEB" w:rsidRDefault="00131B02" w:rsidP="009376F8">
      <w:pPr>
        <w:widowControl/>
        <w:suppressAutoHyphens/>
        <w:spacing w:after="200" w:line="276" w:lineRule="auto"/>
        <w:jc w:val="center"/>
        <w:rPr>
          <w:rFonts w:ascii="Arial" w:eastAsia="Arial" w:hAnsi="Arial"/>
          <w:b/>
          <w:color w:val="auto"/>
          <w:sz w:val="32"/>
          <w:szCs w:val="22"/>
        </w:rPr>
      </w:pPr>
      <w:r>
        <w:rPr>
          <w:rFonts w:ascii="Arial" w:hAnsi="Arial"/>
          <w:b/>
          <w:color w:val="auto"/>
          <w:sz w:val="32"/>
        </w:rPr>
        <w:t>PROJET DE TERMES DE RÉFÉRENCE</w:t>
      </w:r>
      <w:r w:rsidR="009376F8">
        <w:rPr>
          <w:rFonts w:ascii="Arial" w:eastAsia="Arial" w:hAnsi="Arial"/>
          <w:b/>
          <w:color w:val="auto"/>
          <w:sz w:val="32"/>
          <w:szCs w:val="22"/>
        </w:rPr>
        <w:t xml:space="preserve"> </w:t>
      </w:r>
      <w:r>
        <w:rPr>
          <w:rFonts w:ascii="Arial" w:hAnsi="Arial"/>
          <w:b/>
          <w:color w:val="auto"/>
          <w:sz w:val="32"/>
        </w:rPr>
        <w:t>RELATIFS À LA PRESTATION DE SERVICES</w:t>
      </w:r>
      <w:r w:rsidR="009376F8">
        <w:rPr>
          <w:rFonts w:ascii="Arial" w:eastAsia="Arial" w:hAnsi="Arial"/>
          <w:b/>
          <w:color w:val="auto"/>
          <w:sz w:val="32"/>
          <w:szCs w:val="22"/>
        </w:rPr>
        <w:t xml:space="preserve"> </w:t>
      </w:r>
      <w:r>
        <w:rPr>
          <w:rFonts w:ascii="Arial" w:hAnsi="Arial"/>
          <w:b/>
          <w:color w:val="auto"/>
          <w:sz w:val="32"/>
        </w:rPr>
        <w:t>D'EXPERT-CONSEIL</w:t>
      </w:r>
      <w:r w:rsidR="009376F8">
        <w:rPr>
          <w:rFonts w:ascii="Arial" w:eastAsia="Arial" w:hAnsi="Arial"/>
          <w:b/>
          <w:color w:val="auto"/>
          <w:sz w:val="32"/>
          <w:szCs w:val="22"/>
        </w:rPr>
        <w:t xml:space="preserve"> </w:t>
      </w:r>
      <w:r>
        <w:rPr>
          <w:rFonts w:ascii="Arial" w:hAnsi="Arial"/>
          <w:b/>
          <w:color w:val="auto"/>
          <w:sz w:val="32"/>
        </w:rPr>
        <w:t xml:space="preserve">EN MATIÈRE JURIDIQUE CHARGÉ D'EFFECTUER UNE DILIGENCE RAISONNABLE. SUR DES PROJETS D'ÉVALUATION DE L'ÉNERGIE DANS LA RÉGION </w:t>
      </w:r>
    </w:p>
    <w:p w14:paraId="0895382E"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09FB2AD6"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3A737984"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38864B75"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6F8BAC29"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6D76C5B5" w14:textId="77777777" w:rsidR="00873B19" w:rsidRPr="009376F8" w:rsidRDefault="00873B19" w:rsidP="00873B19">
      <w:pPr>
        <w:widowControl/>
        <w:suppressAutoHyphens/>
        <w:spacing w:after="200" w:line="276" w:lineRule="auto"/>
        <w:rPr>
          <w:rFonts w:ascii="Arial" w:eastAsia="Arial" w:hAnsi="Arial"/>
          <w:b/>
          <w:color w:val="auto"/>
          <w:sz w:val="32"/>
          <w:szCs w:val="22"/>
          <w:lang w:bidi="ar-SA"/>
        </w:rPr>
      </w:pPr>
    </w:p>
    <w:p w14:paraId="05E8E89B"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7B10A2BF" w14:textId="77777777" w:rsidR="00873B19" w:rsidRPr="009376F8" w:rsidRDefault="00873B19" w:rsidP="00131B02">
      <w:pPr>
        <w:widowControl/>
        <w:suppressAutoHyphens/>
        <w:spacing w:after="200" w:line="276" w:lineRule="auto"/>
        <w:jc w:val="center"/>
        <w:rPr>
          <w:rFonts w:ascii="Arial" w:eastAsia="Arial" w:hAnsi="Arial"/>
          <w:b/>
          <w:color w:val="auto"/>
          <w:sz w:val="32"/>
          <w:szCs w:val="22"/>
          <w:lang w:bidi="ar-SA"/>
        </w:rPr>
      </w:pPr>
    </w:p>
    <w:p w14:paraId="163CA71D" w14:textId="4BC1021A" w:rsidR="00873B19" w:rsidRDefault="00873B19" w:rsidP="0095236D">
      <w:pPr>
        <w:widowControl/>
        <w:suppressAutoHyphens/>
        <w:spacing w:after="200" w:line="276" w:lineRule="auto"/>
        <w:rPr>
          <w:rFonts w:ascii="Arial" w:eastAsia="Arial" w:hAnsi="Arial"/>
          <w:b/>
          <w:color w:val="auto"/>
          <w:sz w:val="28"/>
          <w:szCs w:val="22"/>
        </w:rPr>
      </w:pPr>
      <w:r>
        <w:rPr>
          <w:rFonts w:ascii="Arial" w:hAnsi="Arial"/>
          <w:b/>
          <w:color w:val="auto"/>
          <w:sz w:val="28"/>
        </w:rPr>
        <w:t>Date : 10/03/2022</w:t>
      </w:r>
    </w:p>
    <w:p w14:paraId="467A8593" w14:textId="1EA340E8" w:rsidR="00C656CA" w:rsidRPr="009376F8" w:rsidRDefault="00C656CA" w:rsidP="0095236D">
      <w:pPr>
        <w:widowControl/>
        <w:suppressAutoHyphens/>
        <w:spacing w:after="200" w:line="276" w:lineRule="auto"/>
        <w:rPr>
          <w:rFonts w:ascii="Arial" w:eastAsia="Arial" w:hAnsi="Arial"/>
          <w:b/>
          <w:color w:val="auto"/>
          <w:sz w:val="28"/>
          <w:szCs w:val="22"/>
          <w:lang w:bidi="ar-SA"/>
        </w:rPr>
      </w:pPr>
    </w:p>
    <w:p w14:paraId="77FDD01B" w14:textId="77777777" w:rsidR="00C656CA" w:rsidRPr="009376F8" w:rsidRDefault="00C656CA" w:rsidP="0095236D">
      <w:pPr>
        <w:widowControl/>
        <w:suppressAutoHyphens/>
        <w:spacing w:after="200" w:line="276" w:lineRule="auto"/>
        <w:rPr>
          <w:rFonts w:ascii="Arial" w:eastAsia="Arial" w:hAnsi="Arial"/>
          <w:b/>
          <w:color w:val="auto"/>
          <w:sz w:val="28"/>
          <w:szCs w:val="22"/>
          <w:lang w:bidi="ar-SA"/>
        </w:rPr>
        <w:sectPr w:rsidR="00C656CA" w:rsidRPr="009376F8" w:rsidSect="000377D8">
          <w:footerReference w:type="default" r:id="rId8"/>
          <w:pgSz w:w="11900" w:h="16840"/>
          <w:pgMar w:top="1436" w:right="1407" w:bottom="741" w:left="1397" w:header="1008" w:footer="3" w:gutter="0"/>
          <w:pgBorders w:display="firstPage" w:offsetFrom="page">
            <w:top w:val="single" w:sz="4" w:space="24" w:color="auto"/>
            <w:left w:val="single" w:sz="4" w:space="24" w:color="auto"/>
            <w:bottom w:val="single" w:sz="4" w:space="24" w:color="auto"/>
            <w:right w:val="single" w:sz="4" w:space="24" w:color="auto"/>
          </w:pgBorders>
          <w:pgNumType w:start="1"/>
          <w:cols w:space="720"/>
          <w:noEndnote/>
          <w:docGrid w:linePitch="360"/>
        </w:sectPr>
      </w:pPr>
    </w:p>
    <w:p w14:paraId="0212D42D" w14:textId="2870FF90" w:rsidR="00525029" w:rsidRPr="000377D8" w:rsidRDefault="00525029" w:rsidP="000377D8">
      <w:pPr>
        <w:rPr>
          <w:rFonts w:ascii="Arial" w:hAnsi="Arial" w:cs="Arial"/>
          <w:b/>
          <w:bCs/>
        </w:rPr>
      </w:pPr>
    </w:p>
    <w:p w14:paraId="6754DD6F" w14:textId="77777777" w:rsidR="00290FA4" w:rsidRPr="0053281A" w:rsidRDefault="00290FA4" w:rsidP="009376F8">
      <w:pPr>
        <w:pStyle w:val="Heading1"/>
        <w:numPr>
          <w:ilvl w:val="0"/>
          <w:numId w:val="18"/>
        </w:numPr>
        <w:suppressAutoHyphens/>
        <w:spacing w:before="0" w:line="240" w:lineRule="auto"/>
        <w:ind w:left="567" w:hanging="567"/>
        <w:jc w:val="both"/>
        <w:rPr>
          <w:rFonts w:cs="Arial"/>
          <w:sz w:val="24"/>
          <w:szCs w:val="24"/>
        </w:rPr>
      </w:pPr>
      <w:r>
        <w:rPr>
          <w:sz w:val="24"/>
        </w:rPr>
        <w:lastRenderedPageBreak/>
        <w:t>Introduction et contexte</w:t>
      </w:r>
    </w:p>
    <w:p w14:paraId="4AC51B77" w14:textId="77777777" w:rsidR="008D71E7" w:rsidRPr="00AB7D45" w:rsidRDefault="008D71E7" w:rsidP="009376F8">
      <w:pPr>
        <w:keepNext/>
        <w:keepLines/>
        <w:rPr>
          <w:rFonts w:ascii="Arial" w:hAnsi="Arial" w:cs="Arial"/>
        </w:rPr>
      </w:pPr>
    </w:p>
    <w:p w14:paraId="06BB80C5" w14:textId="3EBFEB39" w:rsidR="008D71E7" w:rsidRPr="00AB7D45" w:rsidRDefault="008D71E7" w:rsidP="009376F8">
      <w:pPr>
        <w:keepNext/>
        <w:keepLines/>
        <w:jc w:val="both"/>
        <w:rPr>
          <w:rFonts w:ascii="Arial" w:hAnsi="Arial" w:cs="Arial"/>
          <w:color w:val="000000" w:themeColor="text1"/>
        </w:rPr>
      </w:pPr>
      <w:r>
        <w:rPr>
          <w:rFonts w:ascii="Arial" w:hAnsi="Arial"/>
        </w:rPr>
        <w:t>Le Secrétariat de la SADC, en consultation avec la Banque Mondiale (BM), a développé un concept sur l'amélioration des domaines prioritaires de la SADC pour le développement durable du secteur de l'énergie régionale et l'augmentation de l'assistance technique (AT) transversale au Secrétariat et aux organisations régionales de la SADC, à savoir le Pool énergétique d'Afrique australe (SAPP), l'Association régionale des régulateurs de l'énergie (ARRE) et le Centre de la SADC pour l'énergie renouvelable et l'efficacité énergétique (SACREEE), afin de renforcer leurs capacités.</w:t>
      </w:r>
      <w:r w:rsidR="009376F8">
        <w:rPr>
          <w:rFonts w:ascii="Arial" w:hAnsi="Arial"/>
        </w:rPr>
        <w:t xml:space="preserve"> </w:t>
      </w:r>
      <w:r>
        <w:rPr>
          <w:rFonts w:ascii="Arial" w:hAnsi="Arial"/>
        </w:rPr>
        <w:t>Dans le cadre de la mise en œuvre du concept, et plus particulièrement de la composante d'assistance technique transversale, le Secrétariat de la SADC et le SAPP ont signé un accord de coopération portant sur le programme « Accélérer les projets énergétiques régionaux (transformationnels) » (AREP) du Pool énergétique d'Afrique australe, afin d'aborder la question de la fourniture d'une assistance technique au Secrétariat de la SADC, en définissant les rôles, les responsabilités et les modalités de rapport. L'accord signé a conduit au recrutement du coordinateur/conseiller en transactions et du fonctionnaire chargé de l'administration du projet en septembre 2020 dans le cadre de l'assistance technique sur le renforcement des capacités du secrétariat de la SADC sur les projets d'infrastructure énergétique.</w:t>
      </w:r>
    </w:p>
    <w:p w14:paraId="6247C58E" w14:textId="77777777" w:rsidR="008D71E7" w:rsidRPr="00AB7D45" w:rsidRDefault="008D71E7" w:rsidP="008D71E7">
      <w:pPr>
        <w:jc w:val="both"/>
        <w:rPr>
          <w:rFonts w:ascii="Arial" w:hAnsi="Arial" w:cs="Arial"/>
        </w:rPr>
      </w:pPr>
    </w:p>
    <w:p w14:paraId="7672B711" w14:textId="5B374B6A" w:rsidR="008D71E7" w:rsidRPr="00AB7D45" w:rsidRDefault="008D71E7" w:rsidP="008D71E7">
      <w:pPr>
        <w:jc w:val="both"/>
        <w:rPr>
          <w:rFonts w:ascii="Arial" w:hAnsi="Arial" w:cs="Arial"/>
          <w:color w:val="000000" w:themeColor="text1"/>
        </w:rPr>
      </w:pPr>
      <w:r>
        <w:rPr>
          <w:rFonts w:ascii="Arial" w:hAnsi="Arial"/>
          <w:color w:val="000000" w:themeColor="text1"/>
        </w:rPr>
        <w:t>Le soutien technique du SAPP-AREP de la SADC, actuellement opérationnel au Secrétariat de la SADC, depuis septembre 2020, en coopération déléguée avec la Banque mondiale, a pour mandat de fournir une assistance technique afin d'établir un cadre durable de préparation et de financement des projets régionaux d'infrastructure énergétique depuis les étapes de préparation du cycle du projet jusqu'à la phase de construction avec des dates de mise en service ciblées.</w:t>
      </w:r>
    </w:p>
    <w:p w14:paraId="29E60941" w14:textId="77777777" w:rsidR="008D71E7" w:rsidRPr="00AB7D45" w:rsidRDefault="008D71E7" w:rsidP="008D71E7">
      <w:pPr>
        <w:rPr>
          <w:rFonts w:ascii="Arial" w:hAnsi="Arial" w:cs="Arial"/>
        </w:rPr>
      </w:pPr>
    </w:p>
    <w:p w14:paraId="1C2DC239" w14:textId="231C9971" w:rsidR="008D71E7" w:rsidRPr="00AB7D45" w:rsidRDefault="008D71E7" w:rsidP="003F4597">
      <w:pPr>
        <w:jc w:val="both"/>
        <w:rPr>
          <w:rFonts w:ascii="Arial" w:hAnsi="Arial" w:cs="Arial"/>
        </w:rPr>
      </w:pPr>
      <w:r>
        <w:rPr>
          <w:rFonts w:ascii="Arial" w:hAnsi="Arial"/>
        </w:rPr>
        <w:t>Le Secrétariat de la SADC est le bénéficiaire des activités du plan de travail qui seront financées à partir des recettes du programme SAPP-AREP.</w:t>
      </w:r>
      <w:r w:rsidR="009376F8">
        <w:rPr>
          <w:rFonts w:ascii="Arial" w:hAnsi="Arial"/>
        </w:rPr>
        <w:t xml:space="preserve"> </w:t>
      </w:r>
      <w:r>
        <w:rPr>
          <w:rFonts w:ascii="Arial" w:hAnsi="Arial"/>
        </w:rPr>
        <w:t>Quatre (4) axes de travail et dix (10) initiatives ont été identifiés afin de garantir la réussite du programme.</w:t>
      </w:r>
      <w:r w:rsidR="009376F8">
        <w:rPr>
          <w:rFonts w:ascii="Arial" w:hAnsi="Arial"/>
        </w:rPr>
        <w:t xml:space="preserve"> </w:t>
      </w:r>
    </w:p>
    <w:p w14:paraId="3278D04A" w14:textId="1E33201B" w:rsidR="00F972FC" w:rsidRDefault="00F972FC" w:rsidP="001C5DFD">
      <w:pPr>
        <w:rPr>
          <w:rFonts w:ascii="Arial" w:hAnsi="Arial" w:cs="Arial"/>
          <w:b/>
          <w:bCs/>
        </w:rPr>
      </w:pPr>
    </w:p>
    <w:p w14:paraId="6F353C19" w14:textId="77777777" w:rsidR="00F972FC" w:rsidRPr="0053281A" w:rsidRDefault="00F972FC" w:rsidP="00F972FC">
      <w:pPr>
        <w:pStyle w:val="Heading1"/>
        <w:keepNext w:val="0"/>
        <w:keepLines w:val="0"/>
        <w:numPr>
          <w:ilvl w:val="0"/>
          <w:numId w:val="18"/>
        </w:numPr>
        <w:suppressAutoHyphens/>
        <w:spacing w:before="0" w:line="240" w:lineRule="auto"/>
        <w:ind w:left="567" w:hanging="567"/>
        <w:jc w:val="both"/>
        <w:rPr>
          <w:rFonts w:cs="Arial"/>
          <w:sz w:val="24"/>
          <w:szCs w:val="24"/>
        </w:rPr>
      </w:pPr>
      <w:r>
        <w:rPr>
          <w:sz w:val="24"/>
        </w:rPr>
        <w:t>Objectif et portée de la mission</w:t>
      </w:r>
    </w:p>
    <w:p w14:paraId="684F7481" w14:textId="77777777" w:rsidR="00F972FC" w:rsidRPr="009376F8" w:rsidRDefault="00F972FC" w:rsidP="00F972FC"/>
    <w:p w14:paraId="4B356895" w14:textId="77777777" w:rsidR="00F972FC" w:rsidRPr="0053281A" w:rsidRDefault="00F972FC" w:rsidP="00F972FC">
      <w:pPr>
        <w:pStyle w:val="Heading2"/>
        <w:keepNext w:val="0"/>
        <w:keepLines w:val="0"/>
        <w:numPr>
          <w:ilvl w:val="1"/>
          <w:numId w:val="18"/>
        </w:numPr>
        <w:suppressAutoHyphens/>
        <w:spacing w:before="0" w:after="0" w:line="240" w:lineRule="auto"/>
        <w:ind w:left="567" w:hanging="567"/>
        <w:jc w:val="both"/>
        <w:rPr>
          <w:rFonts w:cs="Arial"/>
          <w:szCs w:val="24"/>
        </w:rPr>
      </w:pPr>
      <w:r>
        <w:t>Objectif de la mission</w:t>
      </w:r>
    </w:p>
    <w:p w14:paraId="346A5B16" w14:textId="77777777" w:rsidR="00F972FC" w:rsidRPr="00AB7D45" w:rsidRDefault="00F972FC" w:rsidP="001C5DFD">
      <w:pPr>
        <w:rPr>
          <w:rFonts w:ascii="Arial" w:hAnsi="Arial" w:cs="Arial"/>
          <w:b/>
          <w:bCs/>
        </w:rPr>
      </w:pPr>
    </w:p>
    <w:p w14:paraId="62066898" w14:textId="05273ECA" w:rsidR="008D71E7" w:rsidRPr="00AB7D45" w:rsidRDefault="008D71E7" w:rsidP="008D71E7">
      <w:pPr>
        <w:jc w:val="both"/>
        <w:rPr>
          <w:rFonts w:ascii="Arial" w:hAnsi="Arial" w:cs="Arial"/>
        </w:rPr>
      </w:pPr>
      <w:r>
        <w:rPr>
          <w:rFonts w:ascii="Arial" w:hAnsi="Arial"/>
        </w:rPr>
        <w:t>La mission a pour objectif principal de mettre en œuvre les résultats du 1</w:t>
      </w:r>
      <w:r>
        <w:rPr>
          <w:rFonts w:ascii="Arial" w:hAnsi="Arial"/>
          <w:vertAlign w:val="superscript"/>
        </w:rPr>
        <w:t>er</w:t>
      </w:r>
      <w:r>
        <w:rPr>
          <w:rFonts w:ascii="Arial" w:hAnsi="Arial"/>
        </w:rPr>
        <w:t xml:space="preserve"> Groupe de travail sur l'électricité (GTE) de la SADC, qui s'est tenu en novembre 2021, et qui a débouché sur plusieurs initiatives présentées aux ministres de l'énergie réunis en novembre-décembre 2021.</w:t>
      </w:r>
      <w:r w:rsidR="009376F8">
        <w:rPr>
          <w:rFonts w:ascii="Arial" w:hAnsi="Arial"/>
        </w:rPr>
        <w:t xml:space="preserve"> </w:t>
      </w:r>
      <w:r>
        <w:rPr>
          <w:rFonts w:ascii="Arial" w:hAnsi="Arial"/>
        </w:rPr>
        <w:t>Ces initiatives sont actuellement enregistrées et devront être mises en œuvre.</w:t>
      </w:r>
      <w:r w:rsidR="009376F8">
        <w:rPr>
          <w:rFonts w:ascii="Arial" w:hAnsi="Arial"/>
        </w:rPr>
        <w:t xml:space="preserve"> </w:t>
      </w:r>
    </w:p>
    <w:p w14:paraId="2AE780F6" w14:textId="77777777" w:rsidR="008D71E7" w:rsidRPr="00AB7D45" w:rsidRDefault="008D71E7" w:rsidP="008D71E7">
      <w:pPr>
        <w:jc w:val="both"/>
        <w:rPr>
          <w:rFonts w:ascii="Arial" w:hAnsi="Arial" w:cs="Arial"/>
          <w:lang w:eastAsia="fr-FR"/>
        </w:rPr>
      </w:pPr>
    </w:p>
    <w:p w14:paraId="7D4434DA" w14:textId="77777777" w:rsidR="00565C43" w:rsidRPr="00565C43" w:rsidRDefault="00565C43" w:rsidP="00565C43">
      <w:pPr>
        <w:widowControl/>
        <w:numPr>
          <w:ilvl w:val="1"/>
          <w:numId w:val="18"/>
        </w:numPr>
        <w:suppressAutoHyphens/>
        <w:spacing w:after="200" w:line="276" w:lineRule="auto"/>
        <w:ind w:left="567" w:hanging="567"/>
        <w:jc w:val="both"/>
        <w:outlineLvl w:val="1"/>
        <w:rPr>
          <w:rFonts w:ascii="Arial" w:hAnsi="Arial" w:cs="Arial"/>
          <w:b/>
          <w:bCs/>
          <w:color w:val="auto"/>
        </w:rPr>
      </w:pPr>
      <w:r>
        <w:rPr>
          <w:rFonts w:ascii="Arial" w:hAnsi="Arial"/>
          <w:b/>
          <w:color w:val="auto"/>
        </w:rPr>
        <w:t>Objectif principal</w:t>
      </w:r>
    </w:p>
    <w:p w14:paraId="79FA0398" w14:textId="77777777" w:rsidR="00511106" w:rsidRDefault="00565C43" w:rsidP="009376F8">
      <w:pPr>
        <w:widowControl/>
        <w:suppressAutoHyphens/>
        <w:spacing w:after="240"/>
        <w:jc w:val="both"/>
        <w:rPr>
          <w:rFonts w:ascii="Arial" w:eastAsia="Arial" w:hAnsi="Arial" w:cs="Arial"/>
          <w:color w:val="auto"/>
        </w:rPr>
      </w:pPr>
      <w:r>
        <w:rPr>
          <w:rFonts w:ascii="Arial" w:hAnsi="Arial"/>
          <w:color w:val="auto"/>
        </w:rPr>
        <w:t>L'objectif principal est de recruter un consultant juridique chargé de :</w:t>
      </w:r>
    </w:p>
    <w:p w14:paraId="6511D38A" w14:textId="29976728" w:rsidR="00511106" w:rsidRDefault="00997E86" w:rsidP="00511106">
      <w:pPr>
        <w:pStyle w:val="ListParagraph"/>
        <w:numPr>
          <w:ilvl w:val="0"/>
          <w:numId w:val="23"/>
        </w:numPr>
        <w:suppressAutoHyphens/>
        <w:jc w:val="both"/>
        <w:rPr>
          <w:rFonts w:ascii="Arial" w:eastAsia="Arial" w:hAnsi="Arial" w:cs="Arial"/>
        </w:rPr>
      </w:pPr>
      <w:r>
        <w:rPr>
          <w:rFonts w:ascii="Arial" w:hAnsi="Arial"/>
        </w:rPr>
        <w:t>élaborer un modèle de protocole d'accord intergouvernemental (IGMOU) relatif aux projets d'interconnexion de transport d’électricité régionale couvrant toutes les sections et tous les articles qui permettront de préparer et de mettre en œuvre en temps voulu des projets énergétiques régionaux ;</w:t>
      </w:r>
    </w:p>
    <w:p w14:paraId="415CA0F1" w14:textId="612BB35C" w:rsidR="00565C43" w:rsidRDefault="00FC43BA" w:rsidP="004F0408">
      <w:pPr>
        <w:pStyle w:val="ListParagraph"/>
        <w:numPr>
          <w:ilvl w:val="0"/>
          <w:numId w:val="23"/>
        </w:numPr>
        <w:suppressAutoHyphens/>
        <w:jc w:val="both"/>
        <w:rPr>
          <w:rFonts w:ascii="Arial" w:eastAsia="Arial" w:hAnsi="Arial" w:cs="Arial"/>
        </w:rPr>
      </w:pPr>
      <w:r>
        <w:rPr>
          <w:rFonts w:ascii="Arial" w:hAnsi="Arial"/>
        </w:rPr>
        <w:lastRenderedPageBreak/>
        <w:t>analyser et évaluer l'efficacité et l'efficience des structures de gouvernance prescrites, telles qu'elles sont couvertes par le protocole d'accord intergouvernemental, et formuler des recommandations à ce sujet ; et</w:t>
      </w:r>
    </w:p>
    <w:p w14:paraId="3A4B3AA9" w14:textId="410D1A4D" w:rsidR="00FC43BA" w:rsidRPr="003F4597" w:rsidRDefault="00FC43BA" w:rsidP="004F0408">
      <w:pPr>
        <w:pStyle w:val="ListParagraph"/>
        <w:numPr>
          <w:ilvl w:val="0"/>
          <w:numId w:val="23"/>
        </w:numPr>
        <w:suppressAutoHyphens/>
        <w:jc w:val="both"/>
        <w:rPr>
          <w:rFonts w:ascii="Arial" w:eastAsia="Arial" w:hAnsi="Arial" w:cs="Arial"/>
        </w:rPr>
      </w:pPr>
      <w:r>
        <w:rPr>
          <w:rFonts w:ascii="Arial" w:hAnsi="Arial"/>
        </w:rPr>
        <w:t xml:space="preserve">présenter le modèle développé de l'IGMOU et la recommandation de la structure de gouvernance aux structures de la SADC par le biais d'ateliers et/ou de réunions. </w:t>
      </w:r>
    </w:p>
    <w:p w14:paraId="77E8CE53" w14:textId="39404DD9" w:rsidR="00565C43" w:rsidRPr="009376F8" w:rsidRDefault="00565C43" w:rsidP="00565C43">
      <w:pPr>
        <w:widowControl/>
        <w:suppressAutoHyphens/>
        <w:spacing w:after="200" w:line="276" w:lineRule="auto"/>
        <w:contextualSpacing/>
        <w:jc w:val="both"/>
        <w:rPr>
          <w:rFonts w:ascii="Arial" w:eastAsia="Arial" w:hAnsi="Arial" w:cs="Arial"/>
          <w:color w:val="auto"/>
          <w:lang w:bidi="ar-SA"/>
        </w:rPr>
      </w:pPr>
    </w:p>
    <w:p w14:paraId="2623BBDC" w14:textId="220725E5" w:rsidR="00565C43" w:rsidRPr="00AB7D45" w:rsidRDefault="00B038E3" w:rsidP="00B038E3">
      <w:pPr>
        <w:jc w:val="both"/>
        <w:rPr>
          <w:rFonts w:ascii="Arial" w:hAnsi="Arial" w:cs="Arial"/>
        </w:rPr>
      </w:pPr>
      <w:r>
        <w:rPr>
          <w:rFonts w:ascii="Arial" w:hAnsi="Arial"/>
        </w:rPr>
        <w:t>La feuille de route des initiatives figure à l'</w:t>
      </w:r>
      <w:r>
        <w:rPr>
          <w:rFonts w:ascii="Arial" w:hAnsi="Arial"/>
          <w:b/>
          <w:bCs/>
        </w:rPr>
        <w:t>annexe 1</w:t>
      </w:r>
      <w:r>
        <w:rPr>
          <w:rFonts w:ascii="Arial" w:hAnsi="Arial"/>
        </w:rPr>
        <w:t>.</w:t>
      </w:r>
      <w:r w:rsidR="009376F8">
        <w:rPr>
          <w:rFonts w:ascii="Arial" w:hAnsi="Arial"/>
        </w:rPr>
        <w:t xml:space="preserve"> </w:t>
      </w:r>
    </w:p>
    <w:p w14:paraId="72F755DF" w14:textId="77777777" w:rsidR="00565C43" w:rsidRPr="009376F8" w:rsidRDefault="00565C43" w:rsidP="00565C43">
      <w:pPr>
        <w:widowControl/>
        <w:suppressAutoHyphens/>
        <w:spacing w:after="200" w:line="276" w:lineRule="auto"/>
        <w:contextualSpacing/>
        <w:jc w:val="both"/>
        <w:rPr>
          <w:rFonts w:ascii="Arial" w:eastAsia="Arial" w:hAnsi="Arial" w:cs="Arial"/>
          <w:color w:val="auto"/>
          <w:lang w:bidi="ar-SA"/>
        </w:rPr>
      </w:pPr>
    </w:p>
    <w:p w14:paraId="30485C1B" w14:textId="098E004D" w:rsidR="002D4EBC" w:rsidRPr="002D4EBC" w:rsidRDefault="002D4EBC" w:rsidP="002D4EBC">
      <w:pPr>
        <w:widowControl/>
        <w:numPr>
          <w:ilvl w:val="1"/>
          <w:numId w:val="18"/>
        </w:numPr>
        <w:suppressAutoHyphens/>
        <w:spacing w:after="200" w:line="276" w:lineRule="auto"/>
        <w:ind w:left="567" w:hanging="567"/>
        <w:jc w:val="both"/>
        <w:outlineLvl w:val="1"/>
        <w:rPr>
          <w:rFonts w:ascii="Arial" w:hAnsi="Arial" w:cs="Arial"/>
          <w:b/>
          <w:bCs/>
          <w:color w:val="auto"/>
        </w:rPr>
      </w:pPr>
      <w:bookmarkStart w:id="0" w:name="_Toc439858824"/>
      <w:r>
        <w:rPr>
          <w:rFonts w:ascii="Arial" w:hAnsi="Arial"/>
          <w:b/>
          <w:color w:val="auto"/>
        </w:rPr>
        <w:t xml:space="preserve">Tâches </w:t>
      </w:r>
      <w:bookmarkEnd w:id="0"/>
    </w:p>
    <w:p w14:paraId="630257A4" w14:textId="141B151C" w:rsidR="002D4EBC" w:rsidRPr="002D4EBC" w:rsidRDefault="002D4EBC" w:rsidP="002D4EBC">
      <w:pPr>
        <w:widowControl/>
        <w:suppressAutoHyphens/>
        <w:jc w:val="both"/>
        <w:rPr>
          <w:rFonts w:ascii="Arial" w:eastAsia="Arial" w:hAnsi="Arial" w:cs="Arial"/>
          <w:color w:val="auto"/>
        </w:rPr>
      </w:pPr>
      <w:r>
        <w:rPr>
          <w:rFonts w:ascii="Arial" w:hAnsi="Arial"/>
          <w:color w:val="auto"/>
        </w:rPr>
        <w:t>Le consultant entreprendra les tâches suivantes :</w:t>
      </w:r>
      <w:r w:rsidR="009376F8">
        <w:rPr>
          <w:rFonts w:ascii="Arial" w:hAnsi="Arial"/>
          <w:color w:val="auto"/>
        </w:rPr>
        <w:t xml:space="preserve"> </w:t>
      </w:r>
    </w:p>
    <w:p w14:paraId="4E48D564" w14:textId="77777777" w:rsidR="00D53528" w:rsidRPr="002D4EBC" w:rsidRDefault="00D53528" w:rsidP="002D4EBC">
      <w:pPr>
        <w:rPr>
          <w:rFonts w:ascii="Arial" w:hAnsi="Arial" w:cs="Arial"/>
          <w:b/>
          <w:bCs/>
        </w:rPr>
      </w:pPr>
    </w:p>
    <w:p w14:paraId="215F1AC1" w14:textId="639890A8" w:rsidR="004B4B9D" w:rsidRPr="00AB7D45" w:rsidRDefault="00AE2010" w:rsidP="007B7534">
      <w:pPr>
        <w:widowControl/>
        <w:numPr>
          <w:ilvl w:val="2"/>
          <w:numId w:val="18"/>
        </w:numPr>
        <w:suppressAutoHyphens/>
        <w:spacing w:after="200" w:line="276" w:lineRule="auto"/>
        <w:ind w:left="1134" w:hanging="1134"/>
        <w:jc w:val="both"/>
        <w:outlineLvl w:val="1"/>
        <w:rPr>
          <w:rFonts w:ascii="Arial" w:hAnsi="Arial" w:cs="Arial"/>
        </w:rPr>
      </w:pPr>
      <w:r>
        <w:rPr>
          <w:rFonts w:ascii="Arial" w:hAnsi="Arial"/>
        </w:rPr>
        <w:t>analyser et évaluer l'efficacité et l'efficience des structures de gouvernance prescrites telles que couvertes par les IGMOU et produire des recommandations à ce sujet.</w:t>
      </w:r>
      <w:r w:rsidR="009376F8">
        <w:rPr>
          <w:rFonts w:ascii="Arial" w:hAnsi="Arial"/>
        </w:rPr>
        <w:t xml:space="preserve"> </w:t>
      </w:r>
      <w:r>
        <w:rPr>
          <w:rFonts w:ascii="Arial" w:hAnsi="Arial"/>
        </w:rPr>
        <w:t>Sur cette base, les éléments ci-après doivent être fournis :</w:t>
      </w:r>
      <w:r>
        <w:rPr>
          <w:rFonts w:ascii="Arial" w:hAnsi="Arial"/>
        </w:rPr>
        <w:tab/>
      </w:r>
    </w:p>
    <w:p w14:paraId="77EA3472" w14:textId="50FFF785" w:rsidR="00AE2010" w:rsidRPr="009376F8" w:rsidRDefault="00050296"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sz w:val="24"/>
        </w:rPr>
        <w:t>une diligence raisonnable sur 17 projets énergétiques régionaux, en travaillant en étroite collaboration avec l'unité consultative de projet (PAU) du SAPP et l'équipe énergie de la SADC)</w:t>
      </w:r>
      <w:r w:rsidR="009376F8">
        <w:rPr>
          <w:rFonts w:ascii="Arial" w:hAnsi="Arial"/>
          <w:sz w:val="24"/>
        </w:rPr>
        <w:t> ;</w:t>
      </w:r>
    </w:p>
    <w:p w14:paraId="06C799F0" w14:textId="77777777" w:rsidR="009376F8" w:rsidRPr="004947D0" w:rsidRDefault="009376F8" w:rsidP="009376F8">
      <w:pPr>
        <w:pStyle w:val="Bodytext10"/>
        <w:shd w:val="clear" w:color="auto" w:fill="auto"/>
        <w:tabs>
          <w:tab w:val="left" w:pos="1098"/>
        </w:tabs>
        <w:spacing w:after="0"/>
        <w:ind w:left="1440"/>
        <w:jc w:val="both"/>
        <w:rPr>
          <w:rFonts w:ascii="Arial" w:hAnsi="Arial" w:cs="Arial"/>
          <w:sz w:val="24"/>
          <w:szCs w:val="24"/>
        </w:rPr>
      </w:pPr>
    </w:p>
    <w:p w14:paraId="55222C71" w14:textId="32693FE4" w:rsidR="004B4B9D" w:rsidRPr="009376F8" w:rsidRDefault="00CA6CCB"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sz w:val="24"/>
        </w:rPr>
        <w:t>des conseils sur les projets qui disposent d'un IGMOU valide (exécuté par toutes les parties et toujours dans les délais) et les IGMOU qui sont proches de l'expiration ;</w:t>
      </w:r>
    </w:p>
    <w:p w14:paraId="3B214906" w14:textId="77777777" w:rsidR="009376F8" w:rsidRDefault="009376F8" w:rsidP="009376F8">
      <w:pPr>
        <w:pStyle w:val="ListParagraph"/>
        <w:rPr>
          <w:rFonts w:ascii="Arial" w:hAnsi="Arial" w:cs="Arial"/>
        </w:rPr>
      </w:pPr>
    </w:p>
    <w:p w14:paraId="7E95B2CA" w14:textId="06FB3A88" w:rsidR="004B4B9D" w:rsidRPr="009376F8" w:rsidRDefault="004B4B9D"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sz w:val="24"/>
        </w:rPr>
        <w:t>Les projets qui ne disposent pas d'IGMOU et qui nécessitent un IGMOU immédiat ;</w:t>
      </w:r>
    </w:p>
    <w:p w14:paraId="1C4B861C" w14:textId="77777777" w:rsidR="009376F8" w:rsidRDefault="009376F8" w:rsidP="009376F8">
      <w:pPr>
        <w:pStyle w:val="ListParagraph"/>
        <w:rPr>
          <w:rFonts w:ascii="Arial" w:hAnsi="Arial" w:cs="Arial"/>
        </w:rPr>
      </w:pPr>
    </w:p>
    <w:p w14:paraId="4CAE10BB" w14:textId="1864A063" w:rsidR="008973E1" w:rsidRPr="009376F8" w:rsidRDefault="008973E1"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sz w:val="24"/>
        </w:rPr>
        <w:t>Examiner les IGMOU et déterminer quelles structures de gouvernance (commission mixte et comité ministériel, etc.) doivent être établies et mises en œuvre ;</w:t>
      </w:r>
      <w:r w:rsidR="009376F8">
        <w:rPr>
          <w:rFonts w:ascii="Arial" w:hAnsi="Arial"/>
          <w:sz w:val="24"/>
        </w:rPr>
        <w:t xml:space="preserve"> </w:t>
      </w:r>
    </w:p>
    <w:p w14:paraId="5F6A599F" w14:textId="77777777" w:rsidR="009376F8" w:rsidRDefault="009376F8" w:rsidP="009376F8">
      <w:pPr>
        <w:pStyle w:val="ListParagraph"/>
        <w:rPr>
          <w:rFonts w:ascii="Arial" w:hAnsi="Arial" w:cs="Arial"/>
        </w:rPr>
      </w:pPr>
    </w:p>
    <w:p w14:paraId="3D85B81F" w14:textId="0DFD1051" w:rsidR="009226DB" w:rsidRPr="009376F8" w:rsidRDefault="009226DB"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sz w:val="24"/>
        </w:rPr>
        <w:t>élaborer un référentiel de tous les IGMOU ; et</w:t>
      </w:r>
    </w:p>
    <w:p w14:paraId="63A2FBC7" w14:textId="77777777" w:rsidR="009376F8" w:rsidRDefault="009376F8" w:rsidP="009376F8">
      <w:pPr>
        <w:pStyle w:val="ListParagraph"/>
        <w:rPr>
          <w:rFonts w:ascii="Arial" w:hAnsi="Arial" w:cs="Arial"/>
        </w:rPr>
      </w:pPr>
    </w:p>
    <w:p w14:paraId="6946BC82" w14:textId="73CDB413" w:rsidR="008973E1" w:rsidRPr="00AB7D45" w:rsidRDefault="008973E1"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sz w:val="24"/>
        </w:rPr>
        <w:t xml:space="preserve">travailler en étroite collaboration avec l'équipe de l'UAP du SAPP et l'équipe de l'énergie de la SADC, afin d'établir quels projets pourraient bénéficier de la mise en place immédiate des structures de gouvernance prescrites ; </w:t>
      </w:r>
    </w:p>
    <w:p w14:paraId="2EED181E" w14:textId="13C174D2" w:rsidR="004B4B9D" w:rsidRPr="00AB7D45" w:rsidRDefault="009376F8" w:rsidP="004B4B9D">
      <w:pPr>
        <w:pStyle w:val="Bodytext10"/>
        <w:shd w:val="clear" w:color="auto" w:fill="auto"/>
        <w:tabs>
          <w:tab w:val="left" w:pos="1098"/>
        </w:tabs>
        <w:spacing w:after="0"/>
        <w:jc w:val="both"/>
        <w:rPr>
          <w:rFonts w:ascii="Arial" w:hAnsi="Arial" w:cs="Arial"/>
          <w:sz w:val="24"/>
          <w:szCs w:val="24"/>
        </w:rPr>
      </w:pPr>
      <w:r>
        <w:rPr>
          <w:rFonts w:ascii="Arial" w:hAnsi="Arial"/>
          <w:sz w:val="24"/>
        </w:rPr>
        <w:t xml:space="preserve"> </w:t>
      </w:r>
    </w:p>
    <w:p w14:paraId="5C29F108" w14:textId="77777777" w:rsidR="00525029" w:rsidRPr="00AB7D45" w:rsidRDefault="00525029">
      <w:pPr>
        <w:spacing w:line="1" w:lineRule="exact"/>
        <w:rPr>
          <w:rFonts w:ascii="Arial" w:hAnsi="Arial" w:cs="Arial"/>
        </w:rPr>
      </w:pPr>
    </w:p>
    <w:p w14:paraId="08F42FF9" w14:textId="742B63BE" w:rsidR="00BC0AD6" w:rsidRPr="00AB7D45" w:rsidRDefault="00997E86" w:rsidP="00E1331D">
      <w:pPr>
        <w:widowControl/>
        <w:numPr>
          <w:ilvl w:val="2"/>
          <w:numId w:val="18"/>
        </w:numPr>
        <w:suppressAutoHyphens/>
        <w:spacing w:after="200" w:line="276" w:lineRule="auto"/>
        <w:ind w:left="1134" w:hanging="1134"/>
        <w:jc w:val="both"/>
        <w:outlineLvl w:val="1"/>
        <w:rPr>
          <w:rFonts w:ascii="Arial" w:hAnsi="Arial" w:cs="Arial"/>
        </w:rPr>
      </w:pPr>
      <w:r>
        <w:rPr>
          <w:rFonts w:ascii="Arial" w:hAnsi="Arial"/>
        </w:rPr>
        <w:t>Réviser le projet actuel d'IGMOU sur le projet de transport d’électricité produite à Inga.</w:t>
      </w:r>
      <w:r w:rsidR="009376F8">
        <w:rPr>
          <w:rFonts w:ascii="Arial" w:hAnsi="Arial"/>
        </w:rPr>
        <w:t xml:space="preserve"> </w:t>
      </w:r>
      <w:r>
        <w:rPr>
          <w:rFonts w:ascii="Arial" w:hAnsi="Arial"/>
        </w:rPr>
        <w:t>Le projet Inga 3, qui relie le Botswana, la RDC, l'Afrique du Sud, la Zambie et le Zimbabwe, fait l'objet de discussions depuis 10 ans.</w:t>
      </w:r>
      <w:r w:rsidR="009376F8">
        <w:rPr>
          <w:rFonts w:ascii="Arial" w:hAnsi="Arial"/>
          <w:strike/>
        </w:rPr>
        <w:t xml:space="preserve"> </w:t>
      </w:r>
    </w:p>
    <w:p w14:paraId="5887BFB0" w14:textId="5BDA3E12" w:rsidR="0080658E" w:rsidRPr="00AB7D45" w:rsidRDefault="00997E86" w:rsidP="002D716E">
      <w:pPr>
        <w:widowControl/>
        <w:numPr>
          <w:ilvl w:val="2"/>
          <w:numId w:val="18"/>
        </w:numPr>
        <w:suppressAutoHyphens/>
        <w:spacing w:after="200" w:line="276" w:lineRule="auto"/>
        <w:ind w:left="1134" w:hanging="1134"/>
        <w:jc w:val="both"/>
        <w:outlineLvl w:val="1"/>
        <w:rPr>
          <w:rFonts w:ascii="Arial" w:hAnsi="Arial" w:cs="Arial"/>
        </w:rPr>
      </w:pPr>
      <w:r>
        <w:rPr>
          <w:rFonts w:ascii="Arial" w:hAnsi="Arial"/>
        </w:rPr>
        <w:t xml:space="preserve">Élaborer une liste de contrôle accompagnant tous les IGMOU, couvrant la structure et le cadre général de tous les IGMOU de la SADC et mettant en évidence les problèmes. </w:t>
      </w:r>
    </w:p>
    <w:p w14:paraId="7FDFFEF3" w14:textId="0F405AC0" w:rsidR="0080658E" w:rsidRPr="009376F8" w:rsidRDefault="0080658E"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sz w:val="24"/>
        </w:rPr>
        <w:lastRenderedPageBreak/>
        <w:t>sur l'exonération fiscale des projets financés par des subventions</w:t>
      </w:r>
      <w:r w:rsidR="009376F8">
        <w:rPr>
          <w:rFonts w:ascii="Arial" w:hAnsi="Arial"/>
          <w:sz w:val="24"/>
        </w:rPr>
        <w:t> ;</w:t>
      </w:r>
    </w:p>
    <w:p w14:paraId="32E63CAF" w14:textId="77777777" w:rsidR="009376F8" w:rsidRPr="00AB7D45" w:rsidRDefault="009376F8" w:rsidP="009376F8">
      <w:pPr>
        <w:pStyle w:val="Bodytext10"/>
        <w:shd w:val="clear" w:color="auto" w:fill="auto"/>
        <w:tabs>
          <w:tab w:val="left" w:pos="1098"/>
        </w:tabs>
        <w:spacing w:after="0"/>
        <w:ind w:left="1440"/>
        <w:jc w:val="both"/>
        <w:rPr>
          <w:rFonts w:ascii="Arial" w:hAnsi="Arial" w:cs="Arial"/>
          <w:sz w:val="24"/>
          <w:szCs w:val="24"/>
        </w:rPr>
      </w:pPr>
    </w:p>
    <w:p w14:paraId="17FCBE66" w14:textId="45B2E39C" w:rsidR="0080658E" w:rsidRPr="009376F8" w:rsidRDefault="0080658E"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sz w:val="24"/>
        </w:rPr>
        <w:t xml:space="preserve">la validité de l'IGMOU aux fins de négociation entre les États membres de la SADC ; </w:t>
      </w:r>
    </w:p>
    <w:p w14:paraId="7FB462F9" w14:textId="77777777" w:rsidR="009376F8" w:rsidRDefault="009376F8" w:rsidP="009376F8">
      <w:pPr>
        <w:pStyle w:val="ListParagraph"/>
        <w:rPr>
          <w:rFonts w:ascii="Arial" w:hAnsi="Arial" w:cs="Arial"/>
        </w:rPr>
      </w:pPr>
    </w:p>
    <w:p w14:paraId="4FDA59FE" w14:textId="036270BD" w:rsidR="0080658E" w:rsidRPr="009376F8" w:rsidRDefault="009376F8"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sz w:val="24"/>
        </w:rPr>
        <w:t>l</w:t>
      </w:r>
      <w:r w:rsidR="00441C93">
        <w:rPr>
          <w:rFonts w:ascii="Arial" w:hAnsi="Arial"/>
          <w:sz w:val="24"/>
        </w:rPr>
        <w:t>'engagement de l'État membre dans le projet d'énergie régionale et les coûts punitifs associés tels que le remboursement des subventions en cas de retrait du projet, pendant le développement, de l'État membre et de la société d'électricité ;</w:t>
      </w:r>
    </w:p>
    <w:p w14:paraId="48BA8EA9" w14:textId="77777777" w:rsidR="009376F8" w:rsidRDefault="009376F8" w:rsidP="009376F8">
      <w:pPr>
        <w:pStyle w:val="ListParagraph"/>
        <w:rPr>
          <w:rFonts w:ascii="Arial" w:hAnsi="Arial" w:cs="Arial"/>
        </w:rPr>
      </w:pPr>
    </w:p>
    <w:p w14:paraId="1C039C52" w14:textId="7524CAE4" w:rsidR="00F62B59" w:rsidRPr="009376F8" w:rsidRDefault="009376F8"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sz w:val="24"/>
        </w:rPr>
        <w:t>l</w:t>
      </w:r>
      <w:r w:rsidR="00F62B59">
        <w:rPr>
          <w:rFonts w:ascii="Arial" w:hAnsi="Arial"/>
          <w:sz w:val="24"/>
        </w:rPr>
        <w:t>e manque de contribution des sponsors/des services publics ;</w:t>
      </w:r>
    </w:p>
    <w:p w14:paraId="553E150B" w14:textId="77777777" w:rsidR="009376F8" w:rsidRDefault="009376F8" w:rsidP="009376F8">
      <w:pPr>
        <w:pStyle w:val="ListParagraph"/>
        <w:rPr>
          <w:rFonts w:ascii="Arial" w:hAnsi="Arial" w:cs="Arial"/>
        </w:rPr>
      </w:pPr>
    </w:p>
    <w:p w14:paraId="03FF0315" w14:textId="19CC1700" w:rsidR="00F62B59" w:rsidRPr="009376F8" w:rsidRDefault="009376F8"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sz w:val="24"/>
        </w:rPr>
        <w:t>l</w:t>
      </w:r>
      <w:r w:rsidR="00F62B59">
        <w:rPr>
          <w:rFonts w:ascii="Arial" w:hAnsi="Arial"/>
          <w:sz w:val="24"/>
        </w:rPr>
        <w:t>'allocation du coût administratif du coordinateur du projet ; et</w:t>
      </w:r>
    </w:p>
    <w:p w14:paraId="68C0AD67" w14:textId="77777777" w:rsidR="009376F8" w:rsidRDefault="009376F8" w:rsidP="009376F8">
      <w:pPr>
        <w:pStyle w:val="ListParagraph"/>
        <w:rPr>
          <w:rFonts w:ascii="Arial" w:hAnsi="Arial" w:cs="Arial"/>
        </w:rPr>
      </w:pPr>
    </w:p>
    <w:p w14:paraId="794F5775" w14:textId="0D5985E1" w:rsidR="00441C93" w:rsidRPr="00FD622A" w:rsidRDefault="009376F8"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sz w:val="24"/>
        </w:rPr>
        <w:t>les a</w:t>
      </w:r>
      <w:r w:rsidR="00FD622A">
        <w:rPr>
          <w:rFonts w:ascii="Arial" w:hAnsi="Arial"/>
          <w:sz w:val="24"/>
        </w:rPr>
        <w:t xml:space="preserve">utres éléments à examiner et à convenir. </w:t>
      </w:r>
    </w:p>
    <w:p w14:paraId="63881FE5" w14:textId="77777777" w:rsidR="00FD622A" w:rsidRDefault="00FD622A" w:rsidP="0080658E">
      <w:pPr>
        <w:pStyle w:val="Bodytext10"/>
        <w:shd w:val="clear" w:color="auto" w:fill="auto"/>
        <w:tabs>
          <w:tab w:val="left" w:pos="1098"/>
        </w:tabs>
        <w:spacing w:after="0"/>
        <w:jc w:val="both"/>
        <w:rPr>
          <w:rFonts w:ascii="Arial" w:eastAsia="Times New Roman" w:hAnsi="Arial" w:cs="Arial"/>
          <w:sz w:val="24"/>
          <w:szCs w:val="24"/>
          <w:lang w:eastAsia="fr-FR"/>
        </w:rPr>
      </w:pPr>
    </w:p>
    <w:p w14:paraId="27237048" w14:textId="45A9514D" w:rsidR="00004161" w:rsidRDefault="00B432B5" w:rsidP="00B432B5">
      <w:pPr>
        <w:widowControl/>
        <w:suppressAutoHyphens/>
        <w:spacing w:after="200" w:line="276" w:lineRule="auto"/>
        <w:jc w:val="both"/>
        <w:outlineLvl w:val="1"/>
        <w:rPr>
          <w:b/>
          <w:bCs/>
        </w:rPr>
      </w:pPr>
      <w:r>
        <w:rPr>
          <w:rFonts w:ascii="Arial" w:hAnsi="Arial"/>
        </w:rPr>
        <w:t>Présenter le modèle d'IGMOU élaboré et la recommandation de la structure de gouvernance aux structures de la SADC par le biais d'ateliers et/ou de réunions.</w:t>
      </w:r>
    </w:p>
    <w:p w14:paraId="6CFCD5C3" w14:textId="4E7AE8D1" w:rsidR="0038661C" w:rsidRPr="0038661C" w:rsidRDefault="0038661C" w:rsidP="0038661C">
      <w:pPr>
        <w:widowControl/>
        <w:numPr>
          <w:ilvl w:val="0"/>
          <w:numId w:val="18"/>
        </w:numPr>
        <w:suppressAutoHyphens/>
        <w:spacing w:after="200" w:line="276" w:lineRule="auto"/>
        <w:ind w:left="567" w:hanging="501"/>
        <w:jc w:val="both"/>
        <w:outlineLvl w:val="0"/>
        <w:rPr>
          <w:rFonts w:ascii="Arial" w:hAnsi="Arial" w:cs="Arial"/>
          <w:b/>
          <w:bCs/>
          <w:color w:val="auto"/>
        </w:rPr>
      </w:pPr>
      <w:bookmarkStart w:id="1" w:name="_Toc439858829"/>
      <w:r>
        <w:rPr>
          <w:rFonts w:ascii="Arial" w:hAnsi="Arial"/>
          <w:b/>
          <w:color w:val="auto"/>
        </w:rPr>
        <w:t>Produits livrables</w:t>
      </w:r>
      <w:bookmarkEnd w:id="1"/>
    </w:p>
    <w:p w14:paraId="3AA18CC8" w14:textId="21834575" w:rsidR="0038661C" w:rsidRDefault="0038661C" w:rsidP="0038661C">
      <w:pPr>
        <w:widowControl/>
        <w:suppressAutoHyphens/>
        <w:ind w:left="720" w:hanging="654"/>
        <w:jc w:val="both"/>
        <w:outlineLvl w:val="2"/>
        <w:rPr>
          <w:rFonts w:ascii="Arial" w:hAnsi="Arial" w:cs="Arial"/>
          <w:bCs/>
          <w:color w:val="auto"/>
        </w:rPr>
      </w:pPr>
      <w:r>
        <w:rPr>
          <w:rFonts w:ascii="Arial" w:hAnsi="Arial"/>
          <w:color w:val="auto"/>
        </w:rPr>
        <w:t>Les produits livrables ci-après sont attendus du consultant :</w:t>
      </w:r>
    </w:p>
    <w:p w14:paraId="440C5333" w14:textId="77777777" w:rsidR="0038661C" w:rsidRPr="009376F8" w:rsidRDefault="0038661C" w:rsidP="0038661C">
      <w:pPr>
        <w:widowControl/>
        <w:suppressAutoHyphens/>
        <w:ind w:left="720" w:hanging="654"/>
        <w:jc w:val="both"/>
        <w:outlineLvl w:val="2"/>
        <w:rPr>
          <w:rFonts w:ascii="Arial" w:hAnsi="Arial" w:cs="Arial"/>
          <w:bCs/>
          <w:color w:val="auto"/>
          <w:lang w:bidi="ar-SA"/>
        </w:rPr>
      </w:pPr>
    </w:p>
    <w:p w14:paraId="28E7555F" w14:textId="4BD76F2D" w:rsidR="0038661C" w:rsidRPr="0038661C" w:rsidRDefault="003B11B4" w:rsidP="0038661C">
      <w:pPr>
        <w:widowControl/>
        <w:numPr>
          <w:ilvl w:val="0"/>
          <w:numId w:val="21"/>
        </w:numPr>
        <w:suppressAutoHyphens/>
        <w:spacing w:after="200"/>
        <w:ind w:left="1134" w:hanging="567"/>
        <w:jc w:val="both"/>
        <w:outlineLvl w:val="2"/>
        <w:rPr>
          <w:rFonts w:ascii="Arial" w:hAnsi="Arial" w:cs="Arial"/>
          <w:bCs/>
          <w:color w:val="auto"/>
        </w:rPr>
      </w:pPr>
      <w:r>
        <w:rPr>
          <w:rFonts w:ascii="Arial" w:hAnsi="Arial"/>
          <w:color w:val="auto"/>
        </w:rPr>
        <w:t>Rapport initial ;</w:t>
      </w:r>
    </w:p>
    <w:p w14:paraId="176BC009" w14:textId="7F2799F5" w:rsidR="0038661C" w:rsidRPr="0038661C" w:rsidRDefault="003B11B4" w:rsidP="0038661C">
      <w:pPr>
        <w:widowControl/>
        <w:numPr>
          <w:ilvl w:val="0"/>
          <w:numId w:val="21"/>
        </w:numPr>
        <w:suppressAutoHyphens/>
        <w:spacing w:after="200"/>
        <w:ind w:left="1134" w:hanging="567"/>
        <w:jc w:val="both"/>
        <w:outlineLvl w:val="2"/>
        <w:rPr>
          <w:rFonts w:ascii="Arial" w:hAnsi="Arial" w:cs="Arial"/>
          <w:bCs/>
          <w:color w:val="auto"/>
        </w:rPr>
      </w:pPr>
      <w:r>
        <w:rPr>
          <w:rFonts w:ascii="Arial" w:hAnsi="Arial"/>
          <w:color w:val="auto"/>
        </w:rPr>
        <w:t xml:space="preserve">Projet de rapport final ; et </w:t>
      </w:r>
    </w:p>
    <w:p w14:paraId="34B914D2" w14:textId="1D2D7276" w:rsidR="0038661C" w:rsidRPr="00A44B4C" w:rsidRDefault="003B11B4" w:rsidP="0038661C">
      <w:pPr>
        <w:widowControl/>
        <w:numPr>
          <w:ilvl w:val="0"/>
          <w:numId w:val="21"/>
        </w:numPr>
        <w:suppressAutoHyphens/>
        <w:spacing w:after="200"/>
        <w:ind w:left="1134" w:hanging="567"/>
        <w:jc w:val="both"/>
        <w:outlineLvl w:val="2"/>
        <w:rPr>
          <w:rFonts w:ascii="Arial" w:hAnsi="Arial" w:cs="Arial"/>
          <w:bCs/>
          <w:color w:val="auto"/>
        </w:rPr>
      </w:pPr>
      <w:bookmarkStart w:id="2" w:name="_Toc439858830"/>
      <w:r>
        <w:rPr>
          <w:rFonts w:ascii="Arial" w:hAnsi="Arial"/>
          <w:color w:val="auto"/>
        </w:rPr>
        <w:t>Final Report.</w:t>
      </w:r>
    </w:p>
    <w:p w14:paraId="086D43A8" w14:textId="77777777" w:rsidR="00A44B4C" w:rsidRPr="0038661C" w:rsidRDefault="00A44B4C" w:rsidP="0038661C">
      <w:pPr>
        <w:widowControl/>
        <w:suppressAutoHyphens/>
        <w:rPr>
          <w:rFonts w:ascii="Arial" w:eastAsia="Arial" w:hAnsi="Arial" w:cs="Arial"/>
          <w:color w:val="auto"/>
          <w:lang w:val="en-GB" w:bidi="ar-SA"/>
        </w:rPr>
      </w:pPr>
    </w:p>
    <w:p w14:paraId="002AA72B" w14:textId="6267ED46" w:rsidR="0038661C" w:rsidRPr="0038661C" w:rsidRDefault="0038661C" w:rsidP="0038661C">
      <w:pPr>
        <w:widowControl/>
        <w:numPr>
          <w:ilvl w:val="0"/>
          <w:numId w:val="18"/>
        </w:numPr>
        <w:suppressAutoHyphens/>
        <w:spacing w:after="200" w:line="276" w:lineRule="auto"/>
        <w:ind w:left="426"/>
        <w:jc w:val="both"/>
        <w:outlineLvl w:val="2"/>
        <w:rPr>
          <w:rFonts w:ascii="Arial" w:hAnsi="Arial" w:cs="Arial"/>
          <w:b/>
          <w:bCs/>
          <w:color w:val="auto"/>
        </w:rPr>
      </w:pPr>
      <w:r>
        <w:rPr>
          <w:rFonts w:ascii="Arial" w:hAnsi="Arial"/>
          <w:b/>
          <w:color w:val="auto"/>
        </w:rPr>
        <w:t>Compétences et qualifications du consultant</w:t>
      </w:r>
      <w:bookmarkEnd w:id="2"/>
    </w:p>
    <w:p w14:paraId="7F5BD57D" w14:textId="2D2D2BC2" w:rsidR="0038661C" w:rsidRPr="0038661C" w:rsidRDefault="0038661C" w:rsidP="0038661C">
      <w:pPr>
        <w:widowControl/>
        <w:suppressAutoHyphens/>
        <w:ind w:left="66"/>
        <w:jc w:val="both"/>
        <w:rPr>
          <w:rFonts w:ascii="Arial" w:eastAsia="Arial" w:hAnsi="Arial" w:cs="Arial"/>
          <w:color w:val="auto"/>
        </w:rPr>
      </w:pPr>
      <w:r>
        <w:rPr>
          <w:rFonts w:ascii="Arial" w:hAnsi="Arial"/>
          <w:color w:val="auto"/>
        </w:rPr>
        <w:t>Un expert juridique expérimenté dans le domaine de l'énergie, possédant des connaissances et une expérience régionales et/ou internationales dans le domaine de l'énergie (projets de transport régional, hydroélectricité, gaz naturel, hydrocarbures, énergies renouvelables) est recherché. L'expert juridique peut faire partie d'un plus grand cabinet de conseil en transactions. L'expert juridique doit présenter les caractéristiques suivantes :</w:t>
      </w:r>
    </w:p>
    <w:p w14:paraId="011A1773" w14:textId="77777777" w:rsidR="0038661C" w:rsidRPr="0038661C" w:rsidRDefault="0038661C" w:rsidP="0038661C">
      <w:pPr>
        <w:widowControl/>
        <w:suppressAutoHyphens/>
        <w:ind w:left="66"/>
        <w:jc w:val="both"/>
        <w:rPr>
          <w:rFonts w:ascii="Arial" w:eastAsia="Arial" w:hAnsi="Arial" w:cs="Arial"/>
          <w:color w:val="auto"/>
          <w:lang w:val="en-GB" w:bidi="ar-SA"/>
        </w:rPr>
      </w:pPr>
    </w:p>
    <w:p w14:paraId="61023C04" w14:textId="3E71C31C" w:rsidR="0038661C" w:rsidRPr="009376F8"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t>justifier d'au moins douze (12) années d'expertise professionnelle pertinente, soit dans un cabinet d'avocats reconnu, soit au sein d'un plus grand cabinet de conseil en transactions énergétiques ;</w:t>
      </w:r>
    </w:p>
    <w:p w14:paraId="2D56CFC1" w14:textId="77777777" w:rsidR="009376F8" w:rsidRPr="0038661C" w:rsidRDefault="009376F8" w:rsidP="009376F8">
      <w:pPr>
        <w:widowControl/>
        <w:suppressAutoHyphens/>
        <w:spacing w:after="200" w:line="276" w:lineRule="auto"/>
        <w:ind w:left="1134"/>
        <w:contextualSpacing/>
        <w:jc w:val="both"/>
        <w:rPr>
          <w:rFonts w:ascii="Arial" w:eastAsia="Arial" w:hAnsi="Arial" w:cs="Arial"/>
          <w:color w:val="auto"/>
        </w:rPr>
      </w:pPr>
    </w:p>
    <w:p w14:paraId="2DC549DC" w14:textId="4D7B13E5" w:rsidR="0038661C" w:rsidRPr="0038661C" w:rsidRDefault="00987DA8"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t>posséder une expertise juridique dans le domaine de l'énergie, de l'ingénierie ou de l'économie ;</w:t>
      </w:r>
    </w:p>
    <w:p w14:paraId="4E32B354" w14:textId="77777777" w:rsidR="009376F8" w:rsidRPr="009376F8" w:rsidRDefault="009376F8" w:rsidP="009376F8">
      <w:pPr>
        <w:widowControl/>
        <w:suppressAutoHyphens/>
        <w:spacing w:after="200" w:line="276" w:lineRule="auto"/>
        <w:ind w:left="1134"/>
        <w:contextualSpacing/>
        <w:jc w:val="both"/>
        <w:rPr>
          <w:rFonts w:ascii="Arial" w:eastAsia="Arial" w:hAnsi="Arial" w:cs="Arial"/>
          <w:color w:val="auto"/>
        </w:rPr>
      </w:pPr>
    </w:p>
    <w:p w14:paraId="53E2BC8E" w14:textId="766CFCFF"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t xml:space="preserve">posséder une bonne connaissance pratique des institutions régionales de la SADC ; </w:t>
      </w:r>
    </w:p>
    <w:p w14:paraId="1C01A351" w14:textId="77777777" w:rsidR="009376F8" w:rsidRPr="009376F8" w:rsidRDefault="009376F8" w:rsidP="009376F8">
      <w:pPr>
        <w:widowControl/>
        <w:suppressAutoHyphens/>
        <w:spacing w:after="200" w:line="276" w:lineRule="auto"/>
        <w:ind w:left="1134"/>
        <w:contextualSpacing/>
        <w:jc w:val="both"/>
        <w:rPr>
          <w:rFonts w:ascii="Arial" w:eastAsia="Arial" w:hAnsi="Arial" w:cs="Arial"/>
          <w:color w:val="auto"/>
        </w:rPr>
      </w:pPr>
    </w:p>
    <w:p w14:paraId="3C6885ED" w14:textId="0A167E8D"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lastRenderedPageBreak/>
        <w:t>connaître les principaux instruments politiques et stratégiques de la SADC, notamment ceux qui régissent les opérations du secteur de l'énergie ;</w:t>
      </w:r>
    </w:p>
    <w:p w14:paraId="767BBBD7" w14:textId="77777777" w:rsidR="009376F8" w:rsidRPr="009376F8" w:rsidRDefault="009376F8" w:rsidP="009376F8">
      <w:pPr>
        <w:widowControl/>
        <w:suppressAutoHyphens/>
        <w:spacing w:after="200" w:line="276" w:lineRule="auto"/>
        <w:ind w:left="1134"/>
        <w:contextualSpacing/>
        <w:jc w:val="both"/>
        <w:rPr>
          <w:rFonts w:ascii="Arial" w:eastAsia="Arial" w:hAnsi="Arial" w:cs="Arial"/>
          <w:color w:val="auto"/>
        </w:rPr>
      </w:pPr>
    </w:p>
    <w:p w14:paraId="10E6B5FC" w14:textId="05E327D5"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t xml:space="preserve">posséder d'excellentes compétences en matière de communication et de rédaction de rapports ; </w:t>
      </w:r>
    </w:p>
    <w:p w14:paraId="15025F59" w14:textId="77777777" w:rsidR="009376F8" w:rsidRPr="009376F8" w:rsidRDefault="009376F8" w:rsidP="009376F8">
      <w:pPr>
        <w:widowControl/>
        <w:suppressAutoHyphens/>
        <w:spacing w:after="200" w:line="276" w:lineRule="auto"/>
        <w:ind w:left="1134"/>
        <w:contextualSpacing/>
        <w:jc w:val="both"/>
        <w:rPr>
          <w:rFonts w:ascii="Arial" w:eastAsia="Arial" w:hAnsi="Arial" w:cs="Arial"/>
          <w:color w:val="auto"/>
        </w:rPr>
      </w:pPr>
    </w:p>
    <w:p w14:paraId="7DE032B3" w14:textId="03E2206B" w:rsidR="0038661C" w:rsidRPr="0038661C" w:rsidRDefault="00135DAA"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t>être citoyen d'un État membre de la SADC et connaître le portugais ou le français, cette connaissance constituant un avantage ;</w:t>
      </w:r>
    </w:p>
    <w:p w14:paraId="71444F60" w14:textId="77777777" w:rsidR="009376F8" w:rsidRPr="009376F8" w:rsidRDefault="009376F8" w:rsidP="009376F8">
      <w:pPr>
        <w:widowControl/>
        <w:suppressAutoHyphens/>
        <w:spacing w:after="200" w:line="276" w:lineRule="auto"/>
        <w:ind w:left="1134"/>
        <w:contextualSpacing/>
        <w:jc w:val="both"/>
        <w:rPr>
          <w:rFonts w:ascii="Arial" w:eastAsia="Arial" w:hAnsi="Arial" w:cs="Arial"/>
          <w:color w:val="auto"/>
        </w:rPr>
      </w:pPr>
    </w:p>
    <w:p w14:paraId="1D05F909" w14:textId="17108ED5"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rPr>
      </w:pPr>
      <w:r>
        <w:rPr>
          <w:rFonts w:ascii="Arial" w:hAnsi="Arial"/>
          <w:color w:val="auto"/>
        </w:rPr>
        <w:t>comprendre l'intégration régionale et ses implications pour la SADC et les États membres.</w:t>
      </w:r>
    </w:p>
    <w:p w14:paraId="092F996D" w14:textId="77777777" w:rsidR="0038661C" w:rsidRPr="009376F8" w:rsidRDefault="0038661C" w:rsidP="0038661C">
      <w:pPr>
        <w:widowControl/>
        <w:suppressAutoHyphens/>
        <w:jc w:val="both"/>
        <w:rPr>
          <w:rFonts w:ascii="Arial" w:eastAsia="Arial" w:hAnsi="Arial" w:cs="Arial"/>
          <w:color w:val="auto"/>
          <w:lang w:bidi="ar-SA"/>
        </w:rPr>
      </w:pPr>
    </w:p>
    <w:p w14:paraId="021DA532" w14:textId="6F75D715" w:rsidR="0038661C" w:rsidRPr="0038661C" w:rsidRDefault="00BE1D1B" w:rsidP="0038661C">
      <w:pPr>
        <w:widowControl/>
        <w:numPr>
          <w:ilvl w:val="0"/>
          <w:numId w:val="18"/>
        </w:numPr>
        <w:suppressAutoHyphens/>
        <w:spacing w:after="200" w:line="276" w:lineRule="auto"/>
        <w:ind w:left="426"/>
        <w:jc w:val="both"/>
        <w:outlineLvl w:val="0"/>
        <w:rPr>
          <w:rFonts w:ascii="Arial" w:hAnsi="Arial" w:cs="Arial"/>
          <w:b/>
          <w:bCs/>
          <w:color w:val="auto"/>
        </w:rPr>
      </w:pPr>
      <w:r>
        <w:rPr>
          <w:rFonts w:ascii="Arial" w:hAnsi="Arial"/>
          <w:b/>
          <w:color w:val="auto"/>
        </w:rPr>
        <w:t>Conclusion et calendrier</w:t>
      </w:r>
    </w:p>
    <w:p w14:paraId="2AF78C22" w14:textId="133447BB" w:rsidR="00525029" w:rsidRDefault="00AF6EF5">
      <w:pPr>
        <w:pStyle w:val="Bodytext10"/>
        <w:shd w:val="clear" w:color="auto" w:fill="auto"/>
        <w:spacing w:after="140"/>
        <w:jc w:val="both"/>
        <w:rPr>
          <w:rFonts w:ascii="Arial" w:hAnsi="Arial" w:cs="Arial"/>
          <w:sz w:val="24"/>
          <w:szCs w:val="24"/>
        </w:rPr>
      </w:pPr>
      <w:r>
        <w:rPr>
          <w:rFonts w:ascii="Arial" w:hAnsi="Arial"/>
          <w:sz w:val="24"/>
        </w:rPr>
        <w:t xml:space="preserve">Dans ce contexte, le Secrétariat de la SADC invite les consultants juridiques qualifiés et les entreprises à exprimer leur intérêt à fournir une assistance juridique </w:t>
      </w:r>
      <w:r>
        <w:rPr>
          <w:rFonts w:ascii="Arial" w:hAnsi="Arial"/>
          <w:b/>
          <w:bCs/>
          <w:i/>
          <w:iCs/>
          <w:sz w:val="24"/>
        </w:rPr>
        <w:t>à court terme</w:t>
      </w:r>
      <w:r>
        <w:rPr>
          <w:rFonts w:ascii="Arial" w:hAnsi="Arial"/>
          <w:sz w:val="24"/>
        </w:rPr>
        <w:t>.</w:t>
      </w:r>
    </w:p>
    <w:p w14:paraId="57B084DC" w14:textId="2131CAE0" w:rsidR="00D525E7" w:rsidRDefault="00D525E7">
      <w:pPr>
        <w:pStyle w:val="Bodytext10"/>
        <w:shd w:val="clear" w:color="auto" w:fill="auto"/>
        <w:spacing w:after="140"/>
        <w:jc w:val="both"/>
        <w:rPr>
          <w:rFonts w:ascii="Arial" w:hAnsi="Arial" w:cs="Arial"/>
          <w:sz w:val="24"/>
          <w:szCs w:val="24"/>
        </w:rPr>
      </w:pPr>
      <w:r>
        <w:rPr>
          <w:rFonts w:ascii="Arial" w:hAnsi="Arial"/>
          <w:sz w:val="24"/>
        </w:rPr>
        <w:t>Calendrier : Trois (3) mois</w:t>
      </w:r>
    </w:p>
    <w:p w14:paraId="0E40C187" w14:textId="7F7F8BA3" w:rsidR="00D525E7" w:rsidRDefault="00D525E7">
      <w:pPr>
        <w:pStyle w:val="Bodytext10"/>
        <w:shd w:val="clear" w:color="auto" w:fill="auto"/>
        <w:spacing w:after="140"/>
        <w:jc w:val="both"/>
        <w:rPr>
          <w:rFonts w:ascii="Arial" w:hAnsi="Arial" w:cs="Arial"/>
          <w:sz w:val="24"/>
          <w:szCs w:val="24"/>
        </w:rPr>
      </w:pPr>
      <w:r>
        <w:rPr>
          <w:rFonts w:ascii="Arial" w:hAnsi="Arial"/>
          <w:sz w:val="24"/>
        </w:rPr>
        <w:t>Date de début prévue : 1</w:t>
      </w:r>
      <w:r>
        <w:rPr>
          <w:rFonts w:ascii="Arial" w:hAnsi="Arial"/>
          <w:sz w:val="24"/>
          <w:vertAlign w:val="superscript"/>
        </w:rPr>
        <w:t>er</w:t>
      </w:r>
      <w:r>
        <w:rPr>
          <w:rFonts w:ascii="Arial" w:hAnsi="Arial"/>
          <w:sz w:val="24"/>
        </w:rPr>
        <w:t xml:space="preserve"> juin 2022</w:t>
      </w:r>
    </w:p>
    <w:p w14:paraId="2C48355E" w14:textId="2ECCFC53" w:rsidR="00D525E7" w:rsidRDefault="00D525E7">
      <w:pPr>
        <w:pStyle w:val="Bodytext10"/>
        <w:shd w:val="clear" w:color="auto" w:fill="auto"/>
        <w:spacing w:after="140"/>
        <w:jc w:val="both"/>
        <w:rPr>
          <w:rFonts w:ascii="Arial" w:hAnsi="Arial" w:cs="Arial"/>
          <w:sz w:val="24"/>
          <w:szCs w:val="24"/>
        </w:rPr>
      </w:pPr>
    </w:p>
    <w:p w14:paraId="08F8B759" w14:textId="0AA46FCC" w:rsidR="00D525E7" w:rsidRPr="00D525E7" w:rsidRDefault="00D525E7" w:rsidP="00D525E7">
      <w:pPr>
        <w:pStyle w:val="Bodytext10"/>
        <w:shd w:val="clear" w:color="auto" w:fill="auto"/>
        <w:spacing w:after="140"/>
        <w:jc w:val="both"/>
        <w:rPr>
          <w:rFonts w:ascii="Arial" w:hAnsi="Arial" w:cs="Arial"/>
          <w:b/>
          <w:sz w:val="24"/>
          <w:szCs w:val="24"/>
        </w:rPr>
      </w:pPr>
      <w:r>
        <w:rPr>
          <w:rFonts w:ascii="Arial" w:hAnsi="Arial"/>
          <w:b/>
          <w:sz w:val="24"/>
        </w:rPr>
        <w:t>Soumissions</w:t>
      </w:r>
    </w:p>
    <w:p w14:paraId="08EA6018" w14:textId="721D94DB" w:rsidR="00D525E7" w:rsidRDefault="00D525E7" w:rsidP="00D525E7">
      <w:pPr>
        <w:pStyle w:val="Bodytext10"/>
        <w:shd w:val="clear" w:color="auto" w:fill="auto"/>
        <w:spacing w:after="140"/>
        <w:jc w:val="both"/>
        <w:rPr>
          <w:rFonts w:ascii="Arial" w:hAnsi="Arial" w:cs="Arial"/>
          <w:sz w:val="24"/>
          <w:szCs w:val="24"/>
        </w:rPr>
      </w:pPr>
      <w:r>
        <w:rPr>
          <w:rFonts w:ascii="Arial" w:hAnsi="Arial"/>
          <w:sz w:val="24"/>
        </w:rPr>
        <w:t xml:space="preserve">Les candidatures doivent être soumises par voie électronique à l'adresse e-mail ci-dessous avant le </w:t>
      </w:r>
      <w:r w:rsidR="00354173">
        <w:rPr>
          <w:rFonts w:ascii="Arial" w:hAnsi="Arial"/>
          <w:b/>
          <w:bCs/>
          <w:sz w:val="24"/>
        </w:rPr>
        <w:t>28</w:t>
      </w:r>
      <w:r>
        <w:rPr>
          <w:rFonts w:ascii="Arial" w:hAnsi="Arial"/>
          <w:b/>
          <w:bCs/>
          <w:sz w:val="24"/>
        </w:rPr>
        <w:t xml:space="preserve"> avril 2022 à 15h00</w:t>
      </w:r>
      <w:r>
        <w:rPr>
          <w:rFonts w:ascii="Arial" w:hAnsi="Arial"/>
          <w:sz w:val="24"/>
        </w:rPr>
        <w:t xml:space="preserve">, heure d'Afrique centrale, et mentionner </w:t>
      </w:r>
      <w:r>
        <w:rPr>
          <w:rFonts w:ascii="Arial" w:hAnsi="Arial"/>
          <w:b/>
          <w:bCs/>
          <w:sz w:val="24"/>
        </w:rPr>
        <w:t>« Candidature d'un consultant expert juridique à court terme pour effectuer une diligence raisonnable sur les projets énergétiques régionaux »</w:t>
      </w:r>
      <w:r>
        <w:rPr>
          <w:rFonts w:ascii="Arial" w:hAnsi="Arial"/>
          <w:sz w:val="24"/>
        </w:rPr>
        <w:t>.</w:t>
      </w:r>
      <w:r w:rsidR="009376F8">
        <w:rPr>
          <w:rFonts w:ascii="Arial" w:hAnsi="Arial"/>
          <w:sz w:val="24"/>
        </w:rPr>
        <w:t xml:space="preserve"> </w:t>
      </w:r>
    </w:p>
    <w:p w14:paraId="7A58994A" w14:textId="77777777" w:rsidR="00D525E7" w:rsidRDefault="00D525E7" w:rsidP="00D525E7">
      <w:pPr>
        <w:pStyle w:val="Bodytext10"/>
        <w:shd w:val="clear" w:color="auto" w:fill="auto"/>
        <w:spacing w:after="0" w:line="240" w:lineRule="auto"/>
        <w:jc w:val="both"/>
        <w:rPr>
          <w:rFonts w:ascii="Arial" w:hAnsi="Arial" w:cs="Arial"/>
          <w:b/>
          <w:sz w:val="24"/>
          <w:szCs w:val="24"/>
        </w:rPr>
      </w:pPr>
    </w:p>
    <w:p w14:paraId="08D01157" w14:textId="52D96DDD" w:rsidR="00D525E7" w:rsidRPr="00D525E7" w:rsidRDefault="00D525E7" w:rsidP="00D525E7">
      <w:pPr>
        <w:pStyle w:val="Bodytext10"/>
        <w:shd w:val="clear" w:color="auto" w:fill="auto"/>
        <w:spacing w:after="0" w:line="240" w:lineRule="auto"/>
        <w:jc w:val="both"/>
        <w:rPr>
          <w:rFonts w:ascii="Arial" w:hAnsi="Arial" w:cs="Arial"/>
          <w:b/>
          <w:sz w:val="24"/>
          <w:szCs w:val="24"/>
        </w:rPr>
      </w:pPr>
      <w:r>
        <w:rPr>
          <w:rFonts w:ascii="Arial" w:hAnsi="Arial"/>
          <w:b/>
          <w:sz w:val="24"/>
        </w:rPr>
        <w:t>Adresse et contact :</w:t>
      </w:r>
      <w:r>
        <w:rPr>
          <w:rFonts w:ascii="Arial" w:hAnsi="Arial"/>
          <w:sz w:val="24"/>
        </w:rPr>
        <w:t xml:space="preserve"> </w:t>
      </w:r>
      <w:r>
        <w:rPr>
          <w:rFonts w:ascii="Arial" w:hAnsi="Arial"/>
          <w:b/>
          <w:sz w:val="24"/>
        </w:rPr>
        <w:t xml:space="preserve">Pool énergétique d'Afrique australe </w:t>
      </w:r>
    </w:p>
    <w:p w14:paraId="282D58F9" w14:textId="77777777" w:rsidR="00D525E7" w:rsidRPr="00D525E7" w:rsidRDefault="00D525E7" w:rsidP="00D525E7">
      <w:pPr>
        <w:pStyle w:val="Bodytext10"/>
        <w:shd w:val="clear" w:color="auto" w:fill="auto"/>
        <w:spacing w:after="0" w:line="240" w:lineRule="auto"/>
        <w:jc w:val="both"/>
        <w:rPr>
          <w:rFonts w:ascii="Arial" w:hAnsi="Arial" w:cs="Arial"/>
          <w:b/>
          <w:sz w:val="24"/>
          <w:szCs w:val="24"/>
        </w:rPr>
      </w:pPr>
      <w:r>
        <w:rPr>
          <w:rFonts w:ascii="Arial" w:hAnsi="Arial"/>
          <w:b/>
          <w:sz w:val="24"/>
        </w:rPr>
        <w:t>À l’attention de : Thembekani Luthuli,</w:t>
      </w:r>
    </w:p>
    <w:p w14:paraId="00F0160A" w14:textId="77777777" w:rsidR="00D525E7" w:rsidRPr="00D525E7" w:rsidRDefault="00D525E7" w:rsidP="00D525E7">
      <w:pPr>
        <w:pStyle w:val="Bodytext10"/>
        <w:shd w:val="clear" w:color="auto" w:fill="auto"/>
        <w:spacing w:after="0" w:line="240" w:lineRule="auto"/>
        <w:jc w:val="both"/>
        <w:rPr>
          <w:rFonts w:ascii="Arial" w:hAnsi="Arial" w:cs="Arial"/>
          <w:b/>
          <w:sz w:val="24"/>
          <w:szCs w:val="24"/>
        </w:rPr>
      </w:pPr>
      <w:r>
        <w:rPr>
          <w:rFonts w:ascii="Arial" w:hAnsi="Arial"/>
          <w:b/>
          <w:sz w:val="24"/>
        </w:rPr>
        <w:t xml:space="preserve">Spécialiste en approvisionnement de SAPP-PAU </w:t>
      </w:r>
    </w:p>
    <w:p w14:paraId="11393260" w14:textId="77777777" w:rsidR="00D525E7" w:rsidRPr="00D525E7" w:rsidRDefault="00D525E7" w:rsidP="00D525E7">
      <w:pPr>
        <w:pStyle w:val="Bodytext10"/>
        <w:shd w:val="clear" w:color="auto" w:fill="auto"/>
        <w:spacing w:after="0" w:line="240" w:lineRule="auto"/>
        <w:rPr>
          <w:rFonts w:ascii="Arial" w:hAnsi="Arial" w:cs="Arial"/>
          <w:b/>
          <w:sz w:val="24"/>
          <w:szCs w:val="24"/>
        </w:rPr>
      </w:pPr>
      <w:r>
        <w:rPr>
          <w:rFonts w:ascii="Arial" w:hAnsi="Arial"/>
          <w:b/>
          <w:sz w:val="24"/>
        </w:rPr>
        <w:t xml:space="preserve">Tél. : +27 10 446 9600/+27 72 709 7252 </w:t>
      </w:r>
    </w:p>
    <w:p w14:paraId="43B04418" w14:textId="532B291E" w:rsidR="00D525E7" w:rsidRPr="00D525E7" w:rsidRDefault="00D525E7" w:rsidP="00D525E7">
      <w:pPr>
        <w:pStyle w:val="Bodytext10"/>
        <w:shd w:val="clear" w:color="auto" w:fill="auto"/>
        <w:spacing w:after="0" w:line="240" w:lineRule="auto"/>
        <w:rPr>
          <w:rFonts w:ascii="Arial" w:hAnsi="Arial" w:cs="Arial"/>
          <w:b/>
          <w:sz w:val="24"/>
          <w:szCs w:val="24"/>
        </w:rPr>
      </w:pPr>
      <w:r>
        <w:rPr>
          <w:rFonts w:ascii="Arial" w:hAnsi="Arial"/>
          <w:b/>
          <w:sz w:val="24"/>
        </w:rPr>
        <w:t xml:space="preserve">Adresse email : </w:t>
      </w:r>
      <w:hyperlink r:id="rId9" w:history="1">
        <w:r>
          <w:rPr>
            <w:rStyle w:val="Hyperlink"/>
            <w:rFonts w:ascii="Arial" w:hAnsi="Arial"/>
            <w:b/>
            <w:sz w:val="24"/>
          </w:rPr>
          <w:t>thembekani.luthuli@sapp.co.zw</w:t>
        </w:r>
      </w:hyperlink>
    </w:p>
    <w:p w14:paraId="66F3DC5E" w14:textId="20264530" w:rsidR="00D525E7" w:rsidRDefault="00D525E7" w:rsidP="00D525E7">
      <w:pPr>
        <w:pStyle w:val="Bodytext10"/>
        <w:shd w:val="clear" w:color="auto" w:fill="auto"/>
        <w:spacing w:after="140"/>
        <w:ind w:left="720"/>
        <w:jc w:val="both"/>
        <w:rPr>
          <w:rFonts w:ascii="Arial" w:hAnsi="Arial" w:cs="Arial"/>
          <w:b/>
          <w:sz w:val="24"/>
          <w:szCs w:val="24"/>
        </w:rPr>
      </w:pPr>
    </w:p>
    <w:p w14:paraId="773911C9" w14:textId="6B191BE7" w:rsidR="00354173" w:rsidRDefault="00354173" w:rsidP="00D525E7">
      <w:pPr>
        <w:pStyle w:val="Bodytext10"/>
        <w:shd w:val="clear" w:color="auto" w:fill="auto"/>
        <w:spacing w:after="140"/>
        <w:ind w:left="720"/>
        <w:jc w:val="both"/>
        <w:rPr>
          <w:rFonts w:ascii="Arial" w:hAnsi="Arial" w:cs="Arial"/>
          <w:b/>
          <w:sz w:val="24"/>
          <w:szCs w:val="24"/>
        </w:rPr>
      </w:pPr>
    </w:p>
    <w:p w14:paraId="3D5056B8" w14:textId="6C0B32AA" w:rsidR="00354173" w:rsidRDefault="00354173" w:rsidP="00D525E7">
      <w:pPr>
        <w:pStyle w:val="Bodytext10"/>
        <w:shd w:val="clear" w:color="auto" w:fill="auto"/>
        <w:spacing w:after="140"/>
        <w:ind w:left="720"/>
        <w:jc w:val="both"/>
        <w:rPr>
          <w:rFonts w:ascii="Arial" w:hAnsi="Arial" w:cs="Arial"/>
          <w:b/>
          <w:sz w:val="24"/>
          <w:szCs w:val="24"/>
        </w:rPr>
      </w:pPr>
    </w:p>
    <w:p w14:paraId="04A384B8" w14:textId="40A3EC76" w:rsidR="00354173" w:rsidRDefault="00354173" w:rsidP="00D525E7">
      <w:pPr>
        <w:pStyle w:val="Bodytext10"/>
        <w:shd w:val="clear" w:color="auto" w:fill="auto"/>
        <w:spacing w:after="140"/>
        <w:ind w:left="720"/>
        <w:jc w:val="both"/>
        <w:rPr>
          <w:rFonts w:ascii="Arial" w:hAnsi="Arial" w:cs="Arial"/>
          <w:b/>
          <w:sz w:val="24"/>
          <w:szCs w:val="24"/>
        </w:rPr>
      </w:pPr>
    </w:p>
    <w:p w14:paraId="6BB35138" w14:textId="2D6B695F" w:rsidR="00354173" w:rsidRDefault="00354173" w:rsidP="00D525E7">
      <w:pPr>
        <w:pStyle w:val="Bodytext10"/>
        <w:shd w:val="clear" w:color="auto" w:fill="auto"/>
        <w:spacing w:after="140"/>
        <w:ind w:left="720"/>
        <w:jc w:val="both"/>
        <w:rPr>
          <w:rFonts w:ascii="Arial" w:hAnsi="Arial" w:cs="Arial"/>
          <w:b/>
          <w:sz w:val="24"/>
          <w:szCs w:val="24"/>
        </w:rPr>
      </w:pPr>
    </w:p>
    <w:p w14:paraId="0CB63DE7" w14:textId="22B724D3" w:rsidR="00354173" w:rsidRDefault="00354173" w:rsidP="00D525E7">
      <w:pPr>
        <w:pStyle w:val="Bodytext10"/>
        <w:shd w:val="clear" w:color="auto" w:fill="auto"/>
        <w:spacing w:after="140"/>
        <w:ind w:left="720"/>
        <w:jc w:val="both"/>
        <w:rPr>
          <w:rFonts w:ascii="Arial" w:hAnsi="Arial" w:cs="Arial"/>
          <w:b/>
          <w:sz w:val="24"/>
          <w:szCs w:val="24"/>
        </w:rPr>
      </w:pPr>
    </w:p>
    <w:p w14:paraId="670C7988" w14:textId="7E628D73" w:rsidR="00354173" w:rsidRDefault="00354173" w:rsidP="00D525E7">
      <w:pPr>
        <w:pStyle w:val="Bodytext10"/>
        <w:shd w:val="clear" w:color="auto" w:fill="auto"/>
        <w:spacing w:after="140"/>
        <w:ind w:left="720"/>
        <w:jc w:val="both"/>
        <w:rPr>
          <w:rFonts w:ascii="Arial" w:hAnsi="Arial" w:cs="Arial"/>
          <w:b/>
          <w:sz w:val="24"/>
          <w:szCs w:val="24"/>
        </w:rPr>
      </w:pPr>
    </w:p>
    <w:p w14:paraId="25D977FB" w14:textId="77777777" w:rsidR="00354173" w:rsidRPr="00D525E7" w:rsidRDefault="00354173" w:rsidP="00D525E7">
      <w:pPr>
        <w:pStyle w:val="Bodytext10"/>
        <w:shd w:val="clear" w:color="auto" w:fill="auto"/>
        <w:spacing w:after="140"/>
        <w:ind w:left="720"/>
        <w:jc w:val="both"/>
        <w:rPr>
          <w:rFonts w:ascii="Arial" w:hAnsi="Arial" w:cs="Arial"/>
          <w:b/>
          <w:sz w:val="24"/>
          <w:szCs w:val="24"/>
        </w:rPr>
      </w:pPr>
      <w:bookmarkStart w:id="3" w:name="_GoBack"/>
      <w:bookmarkEnd w:id="3"/>
    </w:p>
    <w:p w14:paraId="5C0457E5" w14:textId="07869881" w:rsidR="00B038E3" w:rsidRPr="00D525E7" w:rsidRDefault="00B038E3" w:rsidP="00D525E7">
      <w:pPr>
        <w:pStyle w:val="Heading210"/>
        <w:keepNext/>
        <w:keepLines/>
        <w:shd w:val="clear" w:color="auto" w:fill="auto"/>
        <w:spacing w:after="140" w:line="257" w:lineRule="auto"/>
        <w:rPr>
          <w:rFonts w:ascii="Arial" w:hAnsi="Arial" w:cs="Arial"/>
          <w:sz w:val="24"/>
          <w:szCs w:val="24"/>
        </w:rPr>
      </w:pPr>
      <w:r>
        <w:rPr>
          <w:rFonts w:ascii="Arial" w:hAnsi="Arial"/>
          <w:sz w:val="24"/>
        </w:rPr>
        <w:lastRenderedPageBreak/>
        <w:t>Annexe 1 :</w:t>
      </w:r>
    </w:p>
    <w:p w14:paraId="0C403414" w14:textId="147333DB" w:rsidR="00B038E3" w:rsidRPr="00AB7D45" w:rsidRDefault="00B038E3" w:rsidP="00B038E3">
      <w:pPr>
        <w:jc w:val="both"/>
        <w:rPr>
          <w:rFonts w:ascii="Arial" w:hAnsi="Arial" w:cs="Arial"/>
        </w:rPr>
      </w:pPr>
      <w:r>
        <w:rPr>
          <w:rFonts w:ascii="Arial" w:hAnsi="Arial"/>
        </w:rPr>
        <w:t>Les calendriers ci-dessous présentent la feuille de route des initiatives qui doivent être mises en œuvre à partir de ce qui précède, et classées par ordre de priorité selon le plan opérationnel annuel (POA) de la SADC.</w:t>
      </w:r>
      <w:r w:rsidR="009376F8">
        <w:rPr>
          <w:rFonts w:ascii="Arial" w:hAnsi="Arial"/>
        </w:rPr>
        <w:t xml:space="preserve"> </w:t>
      </w:r>
      <w:r>
        <w:rPr>
          <w:rFonts w:ascii="Arial" w:hAnsi="Arial"/>
        </w:rPr>
        <w:t>Les objectifs du consultant juridique sont les suivants :</w:t>
      </w:r>
    </w:p>
    <w:p w14:paraId="161A8DFA" w14:textId="77777777" w:rsidR="00B038E3" w:rsidRPr="00AB7D45" w:rsidRDefault="00B038E3" w:rsidP="00B038E3">
      <w:pPr>
        <w:jc w:val="both"/>
        <w:rPr>
          <w:rFonts w:ascii="Arial" w:hAnsi="Arial" w:cs="Arial"/>
        </w:rPr>
      </w:pPr>
      <w:r>
        <w:rPr>
          <w:rFonts w:ascii="Arial" w:hAnsi="Arial"/>
        </w:rPr>
        <w:t> </w:t>
      </w:r>
    </w:p>
    <w:p w14:paraId="13C577D4" w14:textId="3143B101" w:rsidR="00B038E3" w:rsidRPr="00AB7D45" w:rsidRDefault="00B038E3" w:rsidP="00B038E3">
      <w:pPr>
        <w:widowControl/>
        <w:numPr>
          <w:ilvl w:val="1"/>
          <w:numId w:val="7"/>
        </w:numPr>
        <w:ind w:left="1134" w:hanging="567"/>
        <w:jc w:val="both"/>
        <w:rPr>
          <w:rFonts w:ascii="Arial" w:hAnsi="Arial" w:cs="Arial"/>
        </w:rPr>
      </w:pPr>
      <w:r>
        <w:rPr>
          <w:rFonts w:ascii="Arial" w:hAnsi="Arial"/>
          <w:b/>
          <w:bCs/>
        </w:rPr>
        <w:t>Initiative 6 :</w:t>
      </w:r>
      <w:r>
        <w:rPr>
          <w:rFonts w:ascii="Arial" w:hAnsi="Arial"/>
        </w:rPr>
        <w:t xml:space="preserve"> examiner les 17 projets énergétiques régionaux.</w:t>
      </w:r>
      <w:r w:rsidR="009376F8">
        <w:rPr>
          <w:rFonts w:ascii="Arial" w:hAnsi="Arial"/>
        </w:rPr>
        <w:t xml:space="preserve"> </w:t>
      </w:r>
      <w:r>
        <w:rPr>
          <w:rFonts w:ascii="Arial" w:hAnsi="Arial"/>
        </w:rPr>
        <w:t>Effectuer une diligence raisonnable (</w:t>
      </w:r>
      <w:r>
        <w:rPr>
          <w:rFonts w:ascii="Arial" w:hAnsi="Arial"/>
          <w:b/>
          <w:bCs/>
        </w:rPr>
        <w:t>a.</w:t>
      </w:r>
      <w:r>
        <w:rPr>
          <w:rFonts w:ascii="Arial" w:hAnsi="Arial"/>
        </w:rPr>
        <w:t xml:space="preserve"> rassembler tous les IGMOU (exécutés, non exécutés, valides et invalides du point de vue de la période, </w:t>
      </w:r>
      <w:r>
        <w:rPr>
          <w:rFonts w:ascii="Arial" w:hAnsi="Arial"/>
          <w:b/>
          <w:bCs/>
        </w:rPr>
        <w:t>b.</w:t>
      </w:r>
      <w:r>
        <w:rPr>
          <w:rFonts w:ascii="Arial" w:hAnsi="Arial"/>
        </w:rPr>
        <w:t xml:space="preserve"> présenter l'état d'avancement de tous les IGMOU après avoir travaillé en étroite collaboration avec le SAPP et le Secrétariat de la SADC, </w:t>
      </w:r>
      <w:r>
        <w:rPr>
          <w:rFonts w:ascii="Arial" w:hAnsi="Arial"/>
          <w:b/>
          <w:bCs/>
        </w:rPr>
        <w:t>c.</w:t>
      </w:r>
      <w:r>
        <w:rPr>
          <w:rFonts w:ascii="Arial" w:hAnsi="Arial"/>
        </w:rPr>
        <w:t xml:space="preserve"> présenter quels projets disposent de structures de gouvernance prescrites (commission mixte et comité ministériel, etc.) couvertes par l'IGMOU, en travaillant en étroite collaboration avec le Secrétariat de la SADC et l'UPA du SAPP, </w:t>
      </w:r>
      <w:r>
        <w:rPr>
          <w:rFonts w:ascii="Arial" w:hAnsi="Arial"/>
          <w:b/>
          <w:bCs/>
        </w:rPr>
        <w:t>d.</w:t>
      </w:r>
      <w:r>
        <w:rPr>
          <w:rFonts w:ascii="Arial" w:hAnsi="Arial"/>
        </w:rPr>
        <w:t xml:space="preserve"> après avoir travaillé en étroite collaboration avec le SAPP et le Secrétariat de la SADC sur les projets prioritaires nécessitant une mise en œuvre imminente de la structure de gouvernance).</w:t>
      </w:r>
      <w:r w:rsidR="009376F8">
        <w:rPr>
          <w:rFonts w:ascii="Arial" w:hAnsi="Arial"/>
        </w:rPr>
        <w:t xml:space="preserve"> </w:t>
      </w:r>
      <w:r>
        <w:rPr>
          <w:rFonts w:ascii="Arial" w:hAnsi="Arial"/>
        </w:rPr>
        <w:t>Le Secrétariat de la SADC veillera ensuite à la mise en place et à l'opérationnalisation d'unités de mise en œuvre de projet dédiées et de comités de pilotage de projet au niveau des États membres et ce, pour les projets prioritaires identifiés.</w:t>
      </w:r>
      <w:r w:rsidR="009376F8">
        <w:rPr>
          <w:rFonts w:ascii="Arial" w:hAnsi="Arial"/>
        </w:rPr>
        <w:t xml:space="preserve"> </w:t>
      </w:r>
      <w:r>
        <w:rPr>
          <w:rFonts w:ascii="Arial" w:hAnsi="Arial"/>
        </w:rPr>
        <w:t>Deuxième résultat du 1</w:t>
      </w:r>
      <w:r>
        <w:rPr>
          <w:rFonts w:ascii="Arial" w:hAnsi="Arial"/>
          <w:vertAlign w:val="superscript"/>
        </w:rPr>
        <w:t>er</w:t>
      </w:r>
      <w:r>
        <w:rPr>
          <w:rFonts w:ascii="Arial" w:hAnsi="Arial"/>
        </w:rPr>
        <w:t xml:space="preserve"> GTE de la SADC relevant de l'initiative 6.</w:t>
      </w:r>
      <w:r w:rsidR="009376F8">
        <w:rPr>
          <w:rFonts w:ascii="Arial" w:hAnsi="Arial"/>
        </w:rPr>
        <w:t xml:space="preserve"> </w:t>
      </w:r>
      <w:r>
        <w:rPr>
          <w:rFonts w:ascii="Arial" w:hAnsi="Arial"/>
        </w:rPr>
        <w:t xml:space="preserve">Date limite : </w:t>
      </w:r>
      <w:r>
        <w:rPr>
          <w:rFonts w:ascii="Arial" w:hAnsi="Arial"/>
          <w:b/>
          <w:bCs/>
        </w:rPr>
        <w:t>fin mai 2022</w:t>
      </w:r>
      <w:r>
        <w:rPr>
          <w:rFonts w:ascii="Arial" w:hAnsi="Arial"/>
        </w:rPr>
        <w:t>.</w:t>
      </w:r>
    </w:p>
    <w:p w14:paraId="1992C8D9" w14:textId="77777777" w:rsidR="00B038E3" w:rsidRPr="00AB7D45" w:rsidRDefault="00B038E3" w:rsidP="00B038E3">
      <w:pPr>
        <w:ind w:left="1440"/>
        <w:jc w:val="both"/>
        <w:rPr>
          <w:rFonts w:ascii="Arial" w:hAnsi="Arial" w:cs="Arial"/>
          <w:lang w:eastAsia="fr-FR"/>
        </w:rPr>
      </w:pPr>
    </w:p>
    <w:p w14:paraId="2F2FF597" w14:textId="2CF0E1DF" w:rsidR="00B038E3" w:rsidRPr="00AB7D45" w:rsidRDefault="00B038E3" w:rsidP="00B038E3">
      <w:pPr>
        <w:widowControl/>
        <w:numPr>
          <w:ilvl w:val="1"/>
          <w:numId w:val="7"/>
        </w:numPr>
        <w:ind w:left="1134" w:hanging="567"/>
        <w:jc w:val="both"/>
        <w:rPr>
          <w:rFonts w:ascii="Arial" w:hAnsi="Arial" w:cs="Arial"/>
        </w:rPr>
      </w:pPr>
      <w:r>
        <w:rPr>
          <w:rFonts w:ascii="Arial" w:hAnsi="Arial"/>
          <w:b/>
          <w:bCs/>
        </w:rPr>
        <w:t>Initiative 5 :</w:t>
      </w:r>
      <w:r>
        <w:rPr>
          <w:rFonts w:ascii="Arial" w:hAnsi="Arial"/>
        </w:rPr>
        <w:t xml:space="preserve"> Participer à un atelier technique avec les États membres (Botswana, République démocratique du Congo (RDC), Afrique du Sud (SA), Zambie et Zimbabwe) sur l'IGMOU Inga 3.</w:t>
      </w:r>
      <w:r w:rsidR="009376F8">
        <w:rPr>
          <w:rFonts w:ascii="Arial" w:hAnsi="Arial"/>
        </w:rPr>
        <w:t xml:space="preserve"> </w:t>
      </w:r>
      <w:r>
        <w:rPr>
          <w:rFonts w:ascii="Arial" w:hAnsi="Arial"/>
        </w:rPr>
        <w:t>Plus précisément, à partir de la session tenue en décembre 2021, l'intérêt pour le projet, la technologie proposée par l'IGMOU et la mise à jour avec les chiffres actuels.</w:t>
      </w:r>
      <w:r w:rsidR="009376F8">
        <w:rPr>
          <w:rFonts w:ascii="Arial" w:hAnsi="Arial"/>
        </w:rPr>
        <w:t xml:space="preserve"> </w:t>
      </w:r>
      <w:r>
        <w:rPr>
          <w:rFonts w:ascii="Arial" w:hAnsi="Arial"/>
        </w:rPr>
        <w:t>Présence d'experts techniques des compagnies d'électricité.</w:t>
      </w:r>
      <w:r w:rsidR="009376F8">
        <w:rPr>
          <w:rFonts w:ascii="Arial" w:hAnsi="Arial"/>
        </w:rPr>
        <w:t xml:space="preserve"> </w:t>
      </w:r>
      <w:r>
        <w:rPr>
          <w:rFonts w:ascii="Arial" w:hAnsi="Arial"/>
        </w:rPr>
        <w:t>Réviser le protocole d'accord intergouvernemental (IGMOU) en conséquence et prendre note des dates de formation, au moment d'organiser cette session.</w:t>
      </w:r>
      <w:r w:rsidR="009376F8">
        <w:rPr>
          <w:rFonts w:ascii="Arial" w:hAnsi="Arial"/>
        </w:rPr>
        <w:t xml:space="preserve"> </w:t>
      </w:r>
      <w:r>
        <w:rPr>
          <w:rFonts w:ascii="Arial" w:hAnsi="Arial"/>
        </w:rPr>
        <w:t xml:space="preserve">Le protocole d'accord Inga 3 révisé sera partagé avec l'équipe juridique de la SADC pour des conseils juridiques. La version révisée de l'IGMOU Inga 3, avec les commentaires reçus des États membres, devra être remise avant la fin </w:t>
      </w:r>
      <w:r>
        <w:rPr>
          <w:rFonts w:ascii="Arial" w:hAnsi="Arial"/>
          <w:b/>
          <w:bCs/>
        </w:rPr>
        <w:t>juin 2022</w:t>
      </w:r>
      <w:r>
        <w:rPr>
          <w:rFonts w:ascii="Arial" w:hAnsi="Arial"/>
        </w:rPr>
        <w:t>.</w:t>
      </w:r>
    </w:p>
    <w:p w14:paraId="5DED63A4" w14:textId="77777777" w:rsidR="00B038E3" w:rsidRPr="00AB7D45" w:rsidRDefault="00B038E3" w:rsidP="00B038E3">
      <w:pPr>
        <w:pStyle w:val="ListParagraph"/>
        <w:rPr>
          <w:rFonts w:ascii="Arial" w:hAnsi="Arial" w:cs="Arial"/>
          <w:lang w:eastAsia="fr-FR"/>
        </w:rPr>
      </w:pPr>
    </w:p>
    <w:p w14:paraId="771476D9" w14:textId="48A4CE5A" w:rsidR="00B038E3" w:rsidRPr="00AB7D45" w:rsidRDefault="00B038E3" w:rsidP="00B038E3">
      <w:pPr>
        <w:widowControl/>
        <w:numPr>
          <w:ilvl w:val="1"/>
          <w:numId w:val="7"/>
        </w:numPr>
        <w:ind w:left="1134" w:hanging="567"/>
        <w:jc w:val="both"/>
        <w:rPr>
          <w:rFonts w:ascii="Arial" w:hAnsi="Arial" w:cs="Arial"/>
        </w:rPr>
      </w:pPr>
      <w:r>
        <w:rPr>
          <w:rFonts w:ascii="Arial" w:hAnsi="Arial"/>
          <w:b/>
          <w:bCs/>
        </w:rPr>
        <w:t>Initiative 5 :</w:t>
      </w:r>
      <w:r>
        <w:rPr>
          <w:rFonts w:ascii="Arial" w:hAnsi="Arial"/>
        </w:rPr>
        <w:t xml:space="preserve"> élaborer une liste de contrôle accompagnant tous les protocoles d'accord intergouvernementaux, couvrant la structure et le cadre généraux de tous les protocoles d'accord intergouvernementaux de la SADC et soulignant les questions relatives à l'exonération fiscale des projets financés par des subventions, la validité du protocole d'accord intergouvernemental aux fins de négociation entre les États membres de la SADC.</w:t>
      </w:r>
      <w:r w:rsidR="009376F8">
        <w:rPr>
          <w:rFonts w:ascii="Arial" w:hAnsi="Arial"/>
        </w:rPr>
        <w:t xml:space="preserve"> </w:t>
      </w:r>
      <w:r>
        <w:rPr>
          <w:rFonts w:ascii="Arial" w:hAnsi="Arial"/>
        </w:rPr>
        <w:t>Premier résultat du 1</w:t>
      </w:r>
      <w:r>
        <w:rPr>
          <w:rFonts w:ascii="Arial" w:hAnsi="Arial"/>
          <w:vertAlign w:val="superscript"/>
        </w:rPr>
        <w:t>er</w:t>
      </w:r>
      <w:r>
        <w:rPr>
          <w:rFonts w:ascii="Arial" w:hAnsi="Arial"/>
        </w:rPr>
        <w:t xml:space="preserve"> GTE relevant de l'initiative 5.</w:t>
      </w:r>
      <w:r w:rsidR="009376F8">
        <w:rPr>
          <w:rFonts w:ascii="Arial" w:hAnsi="Arial"/>
        </w:rPr>
        <w:t xml:space="preserve"> </w:t>
      </w:r>
      <w:r>
        <w:rPr>
          <w:rFonts w:ascii="Arial" w:hAnsi="Arial"/>
        </w:rPr>
        <w:t xml:space="preserve">Date limite : </w:t>
      </w:r>
      <w:r>
        <w:rPr>
          <w:rFonts w:ascii="Arial" w:hAnsi="Arial"/>
          <w:b/>
          <w:bCs/>
        </w:rPr>
        <w:t>juillet 2022</w:t>
      </w:r>
      <w:r>
        <w:rPr>
          <w:rFonts w:ascii="Arial" w:hAnsi="Arial"/>
        </w:rPr>
        <w:t>.</w:t>
      </w:r>
    </w:p>
    <w:p w14:paraId="60243672" w14:textId="77777777" w:rsidR="00B038E3" w:rsidRPr="00061FCD" w:rsidRDefault="00B038E3">
      <w:pPr>
        <w:pStyle w:val="Bodytext10"/>
        <w:shd w:val="clear" w:color="auto" w:fill="auto"/>
        <w:spacing w:line="257" w:lineRule="auto"/>
        <w:rPr>
          <w:rFonts w:ascii="Arial" w:hAnsi="Arial" w:cs="Arial"/>
          <w:sz w:val="24"/>
          <w:szCs w:val="24"/>
        </w:rPr>
      </w:pPr>
    </w:p>
    <w:sectPr w:rsidR="00B038E3" w:rsidRPr="00061FCD">
      <w:type w:val="continuous"/>
      <w:pgSz w:w="11900" w:h="16840"/>
      <w:pgMar w:top="1417" w:right="1397" w:bottom="1265" w:left="1393" w:header="9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0ED6" w14:textId="77777777" w:rsidR="00DC2FC1" w:rsidRDefault="00DC2FC1">
      <w:r>
        <w:separator/>
      </w:r>
    </w:p>
  </w:endnote>
  <w:endnote w:type="continuationSeparator" w:id="0">
    <w:p w14:paraId="33D9DF0D" w14:textId="77777777" w:rsidR="00DC2FC1" w:rsidRDefault="00D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0CF4" w14:textId="77777777" w:rsidR="00525029" w:rsidRDefault="00AF6EF5">
    <w:pPr>
      <w:spacing w:line="1" w:lineRule="exact"/>
    </w:pPr>
    <w:r>
      <w:rPr>
        <w:noProof/>
        <w:lang w:val="en-ZA" w:eastAsia="en-ZA" w:bidi="ar-SA"/>
      </w:rPr>
      <mc:AlternateContent>
        <mc:Choice Requires="wps">
          <w:drawing>
            <wp:anchor distT="0" distB="0" distL="0" distR="0" simplePos="0" relativeHeight="62914692" behindDoc="1" locked="0" layoutInCell="1" allowOverlap="1" wp14:anchorId="4E6FDEA4" wp14:editId="34BD09E7">
              <wp:simplePos x="0" y="0"/>
              <wp:positionH relativeFrom="page">
                <wp:posOffset>6117590</wp:posOffset>
              </wp:positionH>
              <wp:positionV relativeFrom="page">
                <wp:posOffset>10159365</wp:posOffset>
              </wp:positionV>
              <wp:extent cx="402590" cy="115570"/>
              <wp:effectExtent l="0" t="0" r="0" b="0"/>
              <wp:wrapNone/>
              <wp:docPr id="5" name="Shape 5"/>
              <wp:cNvGraphicFramePr/>
              <a:graphic xmlns:a="http://schemas.openxmlformats.org/drawingml/2006/main">
                <a:graphicData uri="http://schemas.microsoft.com/office/word/2010/wordprocessingShape">
                  <wps:wsp>
                    <wps:cNvSpPr txBox="1"/>
                    <wps:spPr>
                      <a:xfrm>
                        <a:off x="0" y="0"/>
                        <a:ext cx="402590" cy="115570"/>
                      </a:xfrm>
                      <a:prstGeom prst="rect">
                        <a:avLst/>
                      </a:prstGeom>
                      <a:noFill/>
                    </wps:spPr>
                    <wps:txbx>
                      <w:txbxContent>
                        <w:p w14:paraId="5331B1F7" w14:textId="71CC62FD" w:rsidR="00525029" w:rsidRDefault="00AF6EF5">
                          <w:pPr>
                            <w:pStyle w:val="Headerorfooter20"/>
                            <w:shd w:val="clear" w:color="auto" w:fill="auto"/>
                          </w:pPr>
                          <w:r>
                            <w:t xml:space="preserve">Page </w:t>
                          </w:r>
                          <w:r>
                            <w:fldChar w:fldCharType="begin"/>
                          </w:r>
                          <w:r>
                            <w:instrText xml:space="preserve"> PAGE \* MERGEFORMAT </w:instrText>
                          </w:r>
                          <w:r>
                            <w:fldChar w:fldCharType="separate"/>
                          </w:r>
                          <w:r w:rsidR="00354173" w:rsidRPr="00354173">
                            <w:rPr>
                              <w:rFonts w:ascii="Arial" w:eastAsia="Arial" w:hAnsi="Arial" w:cs="Arial"/>
                              <w:noProof/>
                            </w:rPr>
                            <w:t>4</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4E6FDEA4" id="_x0000_t202" coordsize="21600,21600" o:spt="202" path="m,l,21600r21600,l21600,xe">
              <v:stroke joinstyle="miter"/>
              <v:path gradientshapeok="t" o:connecttype="rect"/>
            </v:shapetype>
            <v:shape id="Shape 5" o:spid="_x0000_s1026" type="#_x0000_t202" style="position:absolute;margin-left:481.7pt;margin-top:799.95pt;width:31.7pt;height: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" filled="f" stroked="f">
              <v:textbox style="mso-fit-shape-to-text:t" inset="0,0,0,0">
                <w:txbxContent>
                  <w:p w14:paraId="5331B1F7" w14:textId="71CC62FD" w:rsidR="00525029" w:rsidRDefault="00AF6EF5">
                    <w:pPr>
                      <w:pStyle w:val="Headerorfooter20"/>
                      <w:shd w:val="clear" w:color="auto" w:fill="auto"/>
                    </w:pPr>
                    <w:r>
                      <w:t xml:space="preserve">Page </w:t>
                    </w:r>
                    <w:r>
                      <w:fldChar w:fldCharType="begin"/>
                    </w:r>
                    <w:r>
                      <w:instrText xml:space="preserve"> PAGE \* MERGEFORMAT </w:instrText>
                    </w:r>
                    <w:r>
                      <w:fldChar w:fldCharType="separate"/>
                    </w:r>
                    <w:r w:rsidR="00354173" w:rsidRPr="00354173">
                      <w:rPr>
                        <w:rFonts w:ascii="Arial" w:eastAsia="Arial" w:hAnsi="Arial" w:cs="Arial"/>
                        <w:noProof/>
                      </w:rPr>
                      <w:t>4</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3CA2" w14:textId="77777777" w:rsidR="00DC2FC1" w:rsidRDefault="00DC2FC1"/>
  </w:footnote>
  <w:footnote w:type="continuationSeparator" w:id="0">
    <w:p w14:paraId="6687E241" w14:textId="77777777" w:rsidR="00DC2FC1" w:rsidRDefault="00DC2FC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253"/>
    <w:multiLevelType w:val="multilevel"/>
    <w:tmpl w:val="15327A5C"/>
    <w:lvl w:ilvl="0">
      <w:start w:val="1"/>
      <w:numFmt w:val="decimal"/>
      <w:lvlText w:val="%1"/>
      <w:lvlJc w:val="left"/>
      <w:pPr>
        <w:ind w:left="360" w:hanging="360"/>
      </w:pPr>
      <w:rPr>
        <w:rFonts w:ascii="Arial" w:eastAsia="Times New Roman" w:hAnsi="Arial" w:cs="Aria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 w15:restartNumberingAfterBreak="0">
    <w:nsid w:val="05762FD9"/>
    <w:multiLevelType w:val="multilevel"/>
    <w:tmpl w:val="95181F00"/>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ascii="Arial" w:hAnsi="Arial" w:cs="Arial" w:hint="default"/>
        <w:b/>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 w15:restartNumberingAfterBreak="0">
    <w:nsid w:val="080B2BB2"/>
    <w:multiLevelType w:val="multilevel"/>
    <w:tmpl w:val="EE7EDC1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3D11B5"/>
    <w:multiLevelType w:val="multilevel"/>
    <w:tmpl w:val="0BF622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786ED5"/>
    <w:multiLevelType w:val="multilevel"/>
    <w:tmpl w:val="78EA2402"/>
    <w:lvl w:ilvl="0">
      <w:start w:val="1"/>
      <w:numFmt w:val="decimal"/>
      <w:lvlText w:val="%1"/>
      <w:lvlJc w:val="left"/>
      <w:pPr>
        <w:ind w:left="360" w:hanging="360"/>
      </w:pPr>
      <w:rPr>
        <w:rFonts w:ascii="Arial" w:eastAsia="Times New Roman" w:hAnsi="Arial" w:cs="Arial" w:hint="default"/>
        <w:b/>
        <w:sz w:val="24"/>
      </w:rPr>
    </w:lvl>
    <w:lvl w:ilvl="1">
      <w:start w:val="2"/>
      <w:numFmt w:val="decimal"/>
      <w:lvlText w:val="%1.%2"/>
      <w:lvlJc w:val="left"/>
      <w:pPr>
        <w:ind w:left="360" w:hanging="360"/>
      </w:pPr>
      <w:rPr>
        <w:rFonts w:ascii="Arial" w:eastAsia="Times New Roman" w:hAnsi="Arial" w:cs="Aria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5" w15:restartNumberingAfterBreak="0">
    <w:nsid w:val="1E927598"/>
    <w:multiLevelType w:val="multilevel"/>
    <w:tmpl w:val="15327A5C"/>
    <w:lvl w:ilvl="0">
      <w:start w:val="1"/>
      <w:numFmt w:val="decimal"/>
      <w:lvlText w:val="%1"/>
      <w:lvlJc w:val="left"/>
      <w:pPr>
        <w:ind w:left="360" w:hanging="360"/>
      </w:pPr>
      <w:rPr>
        <w:rFonts w:ascii="Arial" w:eastAsia="Times New Roman" w:hAnsi="Arial" w:cs="Aria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6" w15:restartNumberingAfterBreak="0">
    <w:nsid w:val="27297875"/>
    <w:multiLevelType w:val="multilevel"/>
    <w:tmpl w:val="3086CE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lowerRoman"/>
      <w:pStyle w:val="Heading3"/>
      <w:lvlText w:val="(%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3433F5"/>
    <w:multiLevelType w:val="multilevel"/>
    <w:tmpl w:val="1DC21D4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46A3A"/>
    <w:multiLevelType w:val="multilevel"/>
    <w:tmpl w:val="79FC2742"/>
    <w:lvl w:ilvl="0">
      <w:start w:val="1"/>
      <w:numFmt w:val="decimal"/>
      <w:lvlText w:val="%1"/>
      <w:lvlJc w:val="left"/>
      <w:pPr>
        <w:ind w:left="360" w:hanging="360"/>
      </w:pPr>
      <w:rPr>
        <w:rFonts w:ascii="Arial" w:eastAsia="Times New Roman" w:hAnsi="Arial" w:cs="Arial" w:hint="default"/>
        <w:sz w:val="24"/>
      </w:rPr>
    </w:lvl>
    <w:lvl w:ilvl="1">
      <w:start w:val="2"/>
      <w:numFmt w:val="decimal"/>
      <w:lvlText w:val="%1.%2"/>
      <w:lvlJc w:val="left"/>
      <w:pPr>
        <w:ind w:left="360" w:hanging="360"/>
      </w:pPr>
      <w:rPr>
        <w:rFonts w:ascii="Arial" w:eastAsia="Times New Roman" w:hAnsi="Arial" w:cs="Arial" w:hint="default"/>
        <w:b/>
        <w:bCs/>
        <w:sz w:val="24"/>
      </w:rPr>
    </w:lvl>
    <w:lvl w:ilvl="2">
      <w:start w:val="1"/>
      <w:numFmt w:val="decimal"/>
      <w:lvlText w:val="%1.%2.%3"/>
      <w:lvlJc w:val="left"/>
      <w:pPr>
        <w:ind w:left="720" w:hanging="720"/>
      </w:pPr>
      <w:rPr>
        <w:rFonts w:ascii="Arial" w:eastAsia="Times New Roman" w:hAnsi="Arial" w:cs="Arial" w:hint="default"/>
        <w:sz w:val="24"/>
      </w:rPr>
    </w:lvl>
    <w:lvl w:ilvl="3">
      <w:start w:val="1"/>
      <w:numFmt w:val="decimal"/>
      <w:lvlText w:val="%1.%2.%3.%4"/>
      <w:lvlJc w:val="left"/>
      <w:pPr>
        <w:ind w:left="720" w:hanging="720"/>
      </w:pPr>
      <w:rPr>
        <w:rFonts w:ascii="Arial" w:eastAsia="Times New Roman" w:hAnsi="Arial" w:cs="Arial" w:hint="default"/>
        <w:sz w:val="24"/>
      </w:rPr>
    </w:lvl>
    <w:lvl w:ilvl="4">
      <w:start w:val="1"/>
      <w:numFmt w:val="decimal"/>
      <w:lvlText w:val="%1.%2.%3.%4.%5"/>
      <w:lvlJc w:val="left"/>
      <w:pPr>
        <w:ind w:left="1080" w:hanging="1080"/>
      </w:pPr>
      <w:rPr>
        <w:rFonts w:ascii="Arial" w:eastAsia="Times New Roman" w:hAnsi="Arial" w:cs="Arial" w:hint="default"/>
        <w:sz w:val="24"/>
      </w:rPr>
    </w:lvl>
    <w:lvl w:ilvl="5">
      <w:start w:val="1"/>
      <w:numFmt w:val="decimal"/>
      <w:lvlText w:val="%1.%2.%3.%4.%5.%6"/>
      <w:lvlJc w:val="left"/>
      <w:pPr>
        <w:ind w:left="1080" w:hanging="1080"/>
      </w:pPr>
      <w:rPr>
        <w:rFonts w:ascii="Arial" w:eastAsia="Times New Roman" w:hAnsi="Arial" w:cs="Arial" w:hint="default"/>
        <w:sz w:val="24"/>
      </w:rPr>
    </w:lvl>
    <w:lvl w:ilvl="6">
      <w:start w:val="1"/>
      <w:numFmt w:val="decimal"/>
      <w:lvlText w:val="%1.%2.%3.%4.%5.%6.%7"/>
      <w:lvlJc w:val="left"/>
      <w:pPr>
        <w:ind w:left="1440" w:hanging="1440"/>
      </w:pPr>
      <w:rPr>
        <w:rFonts w:ascii="Arial" w:eastAsia="Times New Roman" w:hAnsi="Arial" w:cs="Arial" w:hint="default"/>
        <w:sz w:val="24"/>
      </w:rPr>
    </w:lvl>
    <w:lvl w:ilvl="7">
      <w:start w:val="1"/>
      <w:numFmt w:val="decimal"/>
      <w:lvlText w:val="%1.%2.%3.%4.%5.%6.%7.%8"/>
      <w:lvlJc w:val="left"/>
      <w:pPr>
        <w:ind w:left="1440" w:hanging="1440"/>
      </w:pPr>
      <w:rPr>
        <w:rFonts w:ascii="Arial" w:eastAsia="Times New Roman" w:hAnsi="Arial" w:cs="Arial" w:hint="default"/>
        <w:sz w:val="24"/>
      </w:rPr>
    </w:lvl>
    <w:lvl w:ilvl="8">
      <w:start w:val="1"/>
      <w:numFmt w:val="decimal"/>
      <w:lvlText w:val="%1.%2.%3.%4.%5.%6.%7.%8.%9"/>
      <w:lvlJc w:val="left"/>
      <w:pPr>
        <w:ind w:left="1440" w:hanging="1440"/>
      </w:pPr>
      <w:rPr>
        <w:rFonts w:ascii="Arial" w:eastAsia="Times New Roman" w:hAnsi="Arial" w:cs="Arial" w:hint="default"/>
        <w:sz w:val="24"/>
      </w:rPr>
    </w:lvl>
  </w:abstractNum>
  <w:abstractNum w:abstractNumId="9" w15:restartNumberingAfterBreak="0">
    <w:nsid w:val="352C05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4C4D3B"/>
    <w:multiLevelType w:val="hybridMultilevel"/>
    <w:tmpl w:val="8D22F1FA"/>
    <w:lvl w:ilvl="0" w:tplc="ED80E932">
      <w:start w:val="1"/>
      <w:numFmt w:val="lowerRoman"/>
      <w:lvlText w:val="(%1)"/>
      <w:lvlJc w:val="left"/>
      <w:pPr>
        <w:ind w:left="14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1220D60">
      <w:start w:val="1"/>
      <w:numFmt w:val="lowerRoman"/>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50D79"/>
    <w:multiLevelType w:val="multilevel"/>
    <w:tmpl w:val="2E4CA6B6"/>
    <w:lvl w:ilvl="0">
      <w:start w:val="1"/>
      <w:numFmt w:val="bullet"/>
      <w:lvlText w:val=""/>
      <w:lvlJc w:val="left"/>
      <w:pPr>
        <w:ind w:left="1440" w:hanging="360"/>
      </w:pPr>
      <w:rPr>
        <w:rFonts w:ascii="Symbol" w:hAnsi="Symbo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2" w15:restartNumberingAfterBreak="0">
    <w:nsid w:val="4D8F1BA3"/>
    <w:multiLevelType w:val="hybridMultilevel"/>
    <w:tmpl w:val="D466D3FC"/>
    <w:lvl w:ilvl="0" w:tplc="6D24990E">
      <w:start w:val="1"/>
      <w:numFmt w:val="lowerRoman"/>
      <w:lvlText w:val="(%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3C0370D"/>
    <w:multiLevelType w:val="multilevel"/>
    <w:tmpl w:val="76A4D3BC"/>
    <w:lvl w:ilvl="0">
      <w:start w:val="1"/>
      <w:numFmt w:val="decimal"/>
      <w:lvlText w:val="%1"/>
      <w:lvlJc w:val="left"/>
      <w:pPr>
        <w:ind w:left="360" w:hanging="360"/>
      </w:pPr>
      <w:rPr>
        <w:rFonts w:ascii="Arial" w:eastAsia="Times New Roman" w:hAnsi="Arial" w:cs="Arial" w:hint="default"/>
        <w:b/>
        <w:sz w:val="24"/>
      </w:rPr>
    </w:lvl>
    <w:lvl w:ilvl="1">
      <w:start w:val="2"/>
      <w:numFmt w:val="decimal"/>
      <w:lvlText w:val="%1.%2"/>
      <w:lvlJc w:val="left"/>
      <w:pPr>
        <w:ind w:left="360" w:hanging="360"/>
      </w:pPr>
      <w:rPr>
        <w:rFonts w:ascii="Arial" w:eastAsia="Times New Roman" w:hAnsi="Arial" w:cs="Aria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4" w15:restartNumberingAfterBreak="0">
    <w:nsid w:val="557E0360"/>
    <w:multiLevelType w:val="multilevel"/>
    <w:tmpl w:val="FCB42BFA"/>
    <w:lvl w:ilvl="0">
      <w:start w:val="1"/>
      <w:numFmt w:val="decimal"/>
      <w:lvlText w:val="%1."/>
      <w:lvlJc w:val="left"/>
      <w:pPr>
        <w:ind w:left="360" w:hanging="360"/>
      </w:pPr>
      <w:rPr>
        <w:rFonts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5D50750"/>
    <w:multiLevelType w:val="hybridMultilevel"/>
    <w:tmpl w:val="4C469E64"/>
    <w:lvl w:ilvl="0" w:tplc="ED80E932">
      <w:start w:val="1"/>
      <w:numFmt w:val="lowerRoman"/>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8917800"/>
    <w:multiLevelType w:val="hybridMultilevel"/>
    <w:tmpl w:val="CB087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814162E"/>
    <w:multiLevelType w:val="multilevel"/>
    <w:tmpl w:val="4852C26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008E2"/>
    <w:multiLevelType w:val="multilevel"/>
    <w:tmpl w:val="2E4CA6B6"/>
    <w:lvl w:ilvl="0">
      <w:start w:val="1"/>
      <w:numFmt w:val="bullet"/>
      <w:lvlText w:val=""/>
      <w:lvlJc w:val="left"/>
      <w:pPr>
        <w:ind w:left="1440" w:hanging="360"/>
      </w:pPr>
      <w:rPr>
        <w:rFonts w:ascii="Symbol" w:hAnsi="Symbo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9" w15:restartNumberingAfterBreak="0">
    <w:nsid w:val="6D867837"/>
    <w:multiLevelType w:val="multilevel"/>
    <w:tmpl w:val="48A8DF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6A3A25"/>
    <w:multiLevelType w:val="hybridMultilevel"/>
    <w:tmpl w:val="18BC2E16"/>
    <w:lvl w:ilvl="0" w:tplc="A516E7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4C68D4"/>
    <w:multiLevelType w:val="hybridMultilevel"/>
    <w:tmpl w:val="7DDE2B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24522"/>
    <w:multiLevelType w:val="hybridMultilevel"/>
    <w:tmpl w:val="BA9A360C"/>
    <w:lvl w:ilvl="0" w:tplc="ED80E93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7"/>
  </w:num>
  <w:num w:numId="4">
    <w:abstractNumId w:val="19"/>
  </w:num>
  <w:num w:numId="5">
    <w:abstractNumId w:val="9"/>
  </w:num>
  <w:num w:numId="6">
    <w:abstractNumId w:val="14"/>
  </w:num>
  <w:num w:numId="7">
    <w:abstractNumId w:val="21"/>
  </w:num>
  <w:num w:numId="8">
    <w:abstractNumId w:val="3"/>
  </w:num>
  <w:num w:numId="9">
    <w:abstractNumId w:val="8"/>
  </w:num>
  <w:num w:numId="10">
    <w:abstractNumId w:val="16"/>
  </w:num>
  <w:num w:numId="11">
    <w:abstractNumId w:val="5"/>
  </w:num>
  <w:num w:numId="12">
    <w:abstractNumId w:val="0"/>
  </w:num>
  <w:num w:numId="13">
    <w:abstractNumId w:val="11"/>
  </w:num>
  <w:num w:numId="14">
    <w:abstractNumId w:val="13"/>
  </w:num>
  <w:num w:numId="15">
    <w:abstractNumId w:val="4"/>
  </w:num>
  <w:num w:numId="16">
    <w:abstractNumId w:val="18"/>
  </w:num>
  <w:num w:numId="17">
    <w:abstractNumId w:val="6"/>
  </w:num>
  <w:num w:numId="18">
    <w:abstractNumId w:val="1"/>
  </w:num>
  <w:num w:numId="19">
    <w:abstractNumId w:val="12"/>
  </w:num>
  <w:num w:numId="20">
    <w:abstractNumId w:val="10"/>
  </w:num>
  <w:num w:numId="21">
    <w:abstractNumId w:val="15"/>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fr-FR" w:vendorID="64" w:dllVersion="131078" w:nlCheck="1" w:checkStyle="0"/>
  <w:proofState w:spelling="clean" w:grammar="clean"/>
  <w:doNotTrackMove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29"/>
    <w:rsid w:val="00000A51"/>
    <w:rsid w:val="00004161"/>
    <w:rsid w:val="00016D59"/>
    <w:rsid w:val="0001704B"/>
    <w:rsid w:val="00017F3C"/>
    <w:rsid w:val="000377D8"/>
    <w:rsid w:val="00050296"/>
    <w:rsid w:val="00061FCD"/>
    <w:rsid w:val="0006300D"/>
    <w:rsid w:val="00084378"/>
    <w:rsid w:val="00084BC9"/>
    <w:rsid w:val="000D615C"/>
    <w:rsid w:val="000E7F13"/>
    <w:rsid w:val="00123B6D"/>
    <w:rsid w:val="00131B02"/>
    <w:rsid w:val="00135DAA"/>
    <w:rsid w:val="0015001C"/>
    <w:rsid w:val="00152CA4"/>
    <w:rsid w:val="00170B6A"/>
    <w:rsid w:val="001A411B"/>
    <w:rsid w:val="001C4A87"/>
    <w:rsid w:val="001C5DFD"/>
    <w:rsid w:val="002119E7"/>
    <w:rsid w:val="0022671B"/>
    <w:rsid w:val="00247DDB"/>
    <w:rsid w:val="00274990"/>
    <w:rsid w:val="00290FA4"/>
    <w:rsid w:val="002A078F"/>
    <w:rsid w:val="002A78CC"/>
    <w:rsid w:val="002C7611"/>
    <w:rsid w:val="002D4EBC"/>
    <w:rsid w:val="002D716E"/>
    <w:rsid w:val="002F4AD9"/>
    <w:rsid w:val="00354173"/>
    <w:rsid w:val="003644E8"/>
    <w:rsid w:val="00365FB5"/>
    <w:rsid w:val="003776FC"/>
    <w:rsid w:val="0038661C"/>
    <w:rsid w:val="003B013C"/>
    <w:rsid w:val="003B11B4"/>
    <w:rsid w:val="003D3048"/>
    <w:rsid w:val="003E497F"/>
    <w:rsid w:val="003F4597"/>
    <w:rsid w:val="00441C93"/>
    <w:rsid w:val="0045147D"/>
    <w:rsid w:val="004546D0"/>
    <w:rsid w:val="00461B3D"/>
    <w:rsid w:val="004900C8"/>
    <w:rsid w:val="004947D0"/>
    <w:rsid w:val="004B2022"/>
    <w:rsid w:val="004B4B9D"/>
    <w:rsid w:val="004D4A7C"/>
    <w:rsid w:val="004F0408"/>
    <w:rsid w:val="004F3ED0"/>
    <w:rsid w:val="00500CB2"/>
    <w:rsid w:val="00503435"/>
    <w:rsid w:val="0050572D"/>
    <w:rsid w:val="00511106"/>
    <w:rsid w:val="00525029"/>
    <w:rsid w:val="005340F3"/>
    <w:rsid w:val="0053479A"/>
    <w:rsid w:val="00536AB6"/>
    <w:rsid w:val="00543AEB"/>
    <w:rsid w:val="00565C43"/>
    <w:rsid w:val="00586D1C"/>
    <w:rsid w:val="005B6636"/>
    <w:rsid w:val="005C0D49"/>
    <w:rsid w:val="005D0D60"/>
    <w:rsid w:val="005E6D6B"/>
    <w:rsid w:val="006069BF"/>
    <w:rsid w:val="00702235"/>
    <w:rsid w:val="00723E47"/>
    <w:rsid w:val="007A0D85"/>
    <w:rsid w:val="007B3FB8"/>
    <w:rsid w:val="007B7534"/>
    <w:rsid w:val="007B7C1E"/>
    <w:rsid w:val="007C5B16"/>
    <w:rsid w:val="0080658E"/>
    <w:rsid w:val="00811B08"/>
    <w:rsid w:val="008506BF"/>
    <w:rsid w:val="00873B19"/>
    <w:rsid w:val="008973E1"/>
    <w:rsid w:val="008D71E7"/>
    <w:rsid w:val="008E57B9"/>
    <w:rsid w:val="00914D03"/>
    <w:rsid w:val="009226DB"/>
    <w:rsid w:val="009376F8"/>
    <w:rsid w:val="00941130"/>
    <w:rsid w:val="0095236D"/>
    <w:rsid w:val="00971357"/>
    <w:rsid w:val="00974739"/>
    <w:rsid w:val="00987DA8"/>
    <w:rsid w:val="00997E86"/>
    <w:rsid w:val="00A1182C"/>
    <w:rsid w:val="00A44B4C"/>
    <w:rsid w:val="00A73A08"/>
    <w:rsid w:val="00AB7D45"/>
    <w:rsid w:val="00AD175D"/>
    <w:rsid w:val="00AE2010"/>
    <w:rsid w:val="00AF6EF5"/>
    <w:rsid w:val="00B038E3"/>
    <w:rsid w:val="00B432B5"/>
    <w:rsid w:val="00B66C41"/>
    <w:rsid w:val="00B73381"/>
    <w:rsid w:val="00BC0AD6"/>
    <w:rsid w:val="00BE1D1B"/>
    <w:rsid w:val="00C22289"/>
    <w:rsid w:val="00C40B3A"/>
    <w:rsid w:val="00C656CA"/>
    <w:rsid w:val="00C90783"/>
    <w:rsid w:val="00C94AF4"/>
    <w:rsid w:val="00CA6CCB"/>
    <w:rsid w:val="00CB140C"/>
    <w:rsid w:val="00CF4BC6"/>
    <w:rsid w:val="00D07FD6"/>
    <w:rsid w:val="00D224E3"/>
    <w:rsid w:val="00D47239"/>
    <w:rsid w:val="00D525E7"/>
    <w:rsid w:val="00D53528"/>
    <w:rsid w:val="00D62A7E"/>
    <w:rsid w:val="00D67C43"/>
    <w:rsid w:val="00D84306"/>
    <w:rsid w:val="00D929CA"/>
    <w:rsid w:val="00D93DF9"/>
    <w:rsid w:val="00DA3DC0"/>
    <w:rsid w:val="00DC1413"/>
    <w:rsid w:val="00DC2FC1"/>
    <w:rsid w:val="00DF738F"/>
    <w:rsid w:val="00E1331D"/>
    <w:rsid w:val="00E14C09"/>
    <w:rsid w:val="00E77BB8"/>
    <w:rsid w:val="00F04508"/>
    <w:rsid w:val="00F2774E"/>
    <w:rsid w:val="00F62B59"/>
    <w:rsid w:val="00F972FC"/>
    <w:rsid w:val="00F9780C"/>
    <w:rsid w:val="00FB64F3"/>
    <w:rsid w:val="00FC43BA"/>
    <w:rsid w:val="00FD622A"/>
    <w:rsid w:val="00FE4888"/>
    <w:rsid w:val="00FE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51F1"/>
  <w15:docId w15:val="{4EBD870C-8F1C-4E31-A17D-EE0DF45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290FA4"/>
    <w:pPr>
      <w:keepNext/>
      <w:keepLines/>
      <w:widowControl/>
      <w:numPr>
        <w:numId w:val="17"/>
      </w:numPr>
      <w:spacing w:before="480" w:line="276" w:lineRule="auto"/>
      <w:outlineLvl w:val="0"/>
    </w:pPr>
    <w:rPr>
      <w:rFonts w:ascii="Arial" w:eastAsiaTheme="majorEastAsia" w:hAnsi="Arial" w:cstheme="majorBidi"/>
      <w:b/>
      <w:bCs/>
      <w:color w:val="auto"/>
      <w:sz w:val="26"/>
      <w:szCs w:val="28"/>
      <w:lang w:bidi="ar-SA"/>
    </w:rPr>
  </w:style>
  <w:style w:type="paragraph" w:styleId="Heading2">
    <w:name w:val="heading 2"/>
    <w:basedOn w:val="Normal"/>
    <w:next w:val="Normal"/>
    <w:link w:val="Heading2Char"/>
    <w:uiPriority w:val="9"/>
    <w:unhideWhenUsed/>
    <w:qFormat/>
    <w:rsid w:val="00290FA4"/>
    <w:pPr>
      <w:keepNext/>
      <w:keepLines/>
      <w:widowControl/>
      <w:numPr>
        <w:ilvl w:val="1"/>
        <w:numId w:val="17"/>
      </w:numPr>
      <w:spacing w:before="200" w:after="120" w:line="276" w:lineRule="auto"/>
      <w:outlineLvl w:val="1"/>
    </w:pPr>
    <w:rPr>
      <w:rFonts w:ascii="Arial" w:eastAsiaTheme="majorEastAsia" w:hAnsi="Arial" w:cstheme="majorBidi"/>
      <w:b/>
      <w:bCs/>
      <w:color w:val="auto"/>
      <w:szCs w:val="26"/>
      <w:lang w:bidi="ar-SA"/>
    </w:rPr>
  </w:style>
  <w:style w:type="paragraph" w:styleId="Heading3">
    <w:name w:val="heading 3"/>
    <w:basedOn w:val="Normal"/>
    <w:next w:val="Normal"/>
    <w:link w:val="Heading3Char"/>
    <w:uiPriority w:val="9"/>
    <w:unhideWhenUsed/>
    <w:qFormat/>
    <w:rsid w:val="00290FA4"/>
    <w:pPr>
      <w:keepNext/>
      <w:keepLines/>
      <w:widowControl/>
      <w:numPr>
        <w:ilvl w:val="2"/>
        <w:numId w:val="17"/>
      </w:numPr>
      <w:spacing w:before="320" w:after="120" w:line="276" w:lineRule="auto"/>
      <w:outlineLvl w:val="2"/>
    </w:pPr>
    <w:rPr>
      <w:rFonts w:ascii="Arial" w:eastAsiaTheme="majorEastAsia" w:hAnsi="Arial" w:cstheme="majorBidi"/>
      <w:b/>
      <w:bCs/>
      <w:color w:val="auto"/>
      <w:sz w:val="22"/>
      <w:szCs w:val="22"/>
      <w:lang w:bidi="ar-SA"/>
    </w:rPr>
  </w:style>
  <w:style w:type="paragraph" w:styleId="Heading4">
    <w:name w:val="heading 4"/>
    <w:basedOn w:val="Normal"/>
    <w:next w:val="Normal"/>
    <w:link w:val="Heading4Char"/>
    <w:uiPriority w:val="9"/>
    <w:semiHidden/>
    <w:unhideWhenUsed/>
    <w:qFormat/>
    <w:rsid w:val="00290FA4"/>
    <w:pPr>
      <w:keepNext/>
      <w:keepLines/>
      <w:widowControl/>
      <w:numPr>
        <w:ilvl w:val="3"/>
        <w:numId w:val="17"/>
      </w:numPr>
      <w:spacing w:before="200" w:line="276" w:lineRule="auto"/>
      <w:outlineLvl w:val="3"/>
    </w:pPr>
    <w:rPr>
      <w:rFonts w:asciiTheme="majorHAnsi" w:eastAsiaTheme="majorEastAsia" w:hAnsiTheme="majorHAnsi" w:cstheme="majorBidi"/>
      <w:b/>
      <w:bCs/>
      <w:i/>
      <w:iCs/>
      <w:color w:val="5B9BD5" w:themeColor="accent1"/>
      <w:sz w:val="22"/>
      <w:szCs w:val="22"/>
      <w:lang w:bidi="ar-SA"/>
    </w:rPr>
  </w:style>
  <w:style w:type="paragraph" w:styleId="Heading5">
    <w:name w:val="heading 5"/>
    <w:basedOn w:val="Normal"/>
    <w:next w:val="Normal"/>
    <w:link w:val="Heading5Char"/>
    <w:uiPriority w:val="9"/>
    <w:semiHidden/>
    <w:unhideWhenUsed/>
    <w:qFormat/>
    <w:rsid w:val="00290FA4"/>
    <w:pPr>
      <w:keepNext/>
      <w:keepLines/>
      <w:widowControl/>
      <w:numPr>
        <w:ilvl w:val="4"/>
        <w:numId w:val="17"/>
      </w:numPr>
      <w:spacing w:before="200" w:line="276" w:lineRule="auto"/>
      <w:outlineLvl w:val="4"/>
    </w:pPr>
    <w:rPr>
      <w:rFonts w:asciiTheme="majorHAnsi" w:eastAsiaTheme="majorEastAsia" w:hAnsiTheme="majorHAnsi" w:cstheme="majorBidi"/>
      <w:color w:val="1F4D78" w:themeColor="accent1" w:themeShade="7F"/>
      <w:sz w:val="22"/>
      <w:szCs w:val="22"/>
      <w:lang w:bidi="ar-SA"/>
    </w:rPr>
  </w:style>
  <w:style w:type="paragraph" w:styleId="Heading6">
    <w:name w:val="heading 6"/>
    <w:basedOn w:val="Normal"/>
    <w:next w:val="Normal"/>
    <w:link w:val="Heading6Char"/>
    <w:uiPriority w:val="9"/>
    <w:semiHidden/>
    <w:unhideWhenUsed/>
    <w:qFormat/>
    <w:rsid w:val="00290FA4"/>
    <w:pPr>
      <w:keepNext/>
      <w:keepLines/>
      <w:widowControl/>
      <w:numPr>
        <w:ilvl w:val="5"/>
        <w:numId w:val="17"/>
      </w:numPr>
      <w:spacing w:before="200" w:line="276" w:lineRule="auto"/>
      <w:outlineLvl w:val="5"/>
    </w:pPr>
    <w:rPr>
      <w:rFonts w:asciiTheme="majorHAnsi" w:eastAsiaTheme="majorEastAsia" w:hAnsiTheme="majorHAnsi" w:cstheme="majorBidi"/>
      <w:i/>
      <w:iCs/>
      <w:color w:val="1F4D78" w:themeColor="accent1" w:themeShade="7F"/>
      <w:sz w:val="22"/>
      <w:szCs w:val="22"/>
      <w:lang w:bidi="ar-SA"/>
    </w:rPr>
  </w:style>
  <w:style w:type="paragraph" w:styleId="Heading7">
    <w:name w:val="heading 7"/>
    <w:basedOn w:val="Normal"/>
    <w:next w:val="Normal"/>
    <w:link w:val="Heading7Char"/>
    <w:uiPriority w:val="9"/>
    <w:semiHidden/>
    <w:unhideWhenUsed/>
    <w:qFormat/>
    <w:rsid w:val="00290FA4"/>
    <w:pPr>
      <w:keepNext/>
      <w:keepLines/>
      <w:widowControl/>
      <w:numPr>
        <w:ilvl w:val="6"/>
        <w:numId w:val="17"/>
      </w:numPr>
      <w:spacing w:before="200" w:line="276" w:lineRule="auto"/>
      <w:outlineLvl w:val="6"/>
    </w:pPr>
    <w:rPr>
      <w:rFonts w:asciiTheme="majorHAnsi" w:eastAsiaTheme="majorEastAsia" w:hAnsiTheme="majorHAnsi" w:cstheme="majorBidi"/>
      <w:i/>
      <w:iCs/>
      <w:color w:val="404040" w:themeColor="text1" w:themeTint="BF"/>
      <w:sz w:val="22"/>
      <w:szCs w:val="22"/>
      <w:lang w:bidi="ar-SA"/>
    </w:rPr>
  </w:style>
  <w:style w:type="paragraph" w:styleId="Heading8">
    <w:name w:val="heading 8"/>
    <w:basedOn w:val="Normal"/>
    <w:next w:val="Normal"/>
    <w:link w:val="Heading8Char"/>
    <w:uiPriority w:val="9"/>
    <w:semiHidden/>
    <w:unhideWhenUsed/>
    <w:qFormat/>
    <w:rsid w:val="00290FA4"/>
    <w:pPr>
      <w:keepNext/>
      <w:keepLines/>
      <w:widowControl/>
      <w:numPr>
        <w:ilvl w:val="7"/>
        <w:numId w:val="17"/>
      </w:numPr>
      <w:spacing w:before="200" w:line="276" w:lineRule="auto"/>
      <w:outlineLvl w:val="7"/>
    </w:pPr>
    <w:rPr>
      <w:rFonts w:asciiTheme="majorHAnsi" w:eastAsiaTheme="majorEastAsia" w:hAnsiTheme="majorHAnsi" w:cstheme="majorBidi"/>
      <w:color w:val="404040" w:themeColor="text1" w:themeTint="BF"/>
      <w:sz w:val="20"/>
      <w:szCs w:val="20"/>
      <w:lang w:bidi="ar-SA"/>
    </w:rPr>
  </w:style>
  <w:style w:type="paragraph" w:styleId="Heading9">
    <w:name w:val="heading 9"/>
    <w:basedOn w:val="Normal"/>
    <w:next w:val="Normal"/>
    <w:link w:val="Heading9Char"/>
    <w:uiPriority w:val="9"/>
    <w:semiHidden/>
    <w:unhideWhenUsed/>
    <w:qFormat/>
    <w:rsid w:val="00290FA4"/>
    <w:pPr>
      <w:keepNext/>
      <w:keepLines/>
      <w:widowControl/>
      <w:numPr>
        <w:ilvl w:val="8"/>
        <w:numId w:val="17"/>
      </w:numPr>
      <w:spacing w:before="200" w:line="276" w:lineRule="auto"/>
      <w:outlineLvl w:val="8"/>
    </w:pPr>
    <w:rPr>
      <w:rFonts w:asciiTheme="majorHAnsi" w:eastAsiaTheme="majorEastAsia" w:hAnsiTheme="majorHAnsi" w:cstheme="majorBidi"/>
      <w:i/>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2">
    <w:name w:val="Body text|2_"/>
    <w:basedOn w:val="DefaultParagraphFont"/>
    <w:link w:val="Bodytext20"/>
    <w:rPr>
      <w:rFonts w:ascii="Calibri" w:eastAsia="Calibri" w:hAnsi="Calibri" w:cs="Calibri"/>
      <w:b w:val="0"/>
      <w:bCs w:val="0"/>
      <w:i w:val="0"/>
      <w:iCs w:val="0"/>
      <w:smallCaps w:val="0"/>
      <w:strike w:val="0"/>
      <w:sz w:val="32"/>
      <w:szCs w:val="32"/>
      <w:u w:val="none"/>
    </w:rPr>
  </w:style>
  <w:style w:type="character" w:customStyle="1" w:styleId="Heading11">
    <w:name w:val="Heading #1|1_"/>
    <w:basedOn w:val="DefaultParagraphFont"/>
    <w:link w:val="Heading110"/>
    <w:rPr>
      <w:rFonts w:ascii="Calibri" w:eastAsia="Calibri" w:hAnsi="Calibri" w:cs="Calibri"/>
      <w:b w:val="0"/>
      <w:bCs w:val="0"/>
      <w:i w:val="0"/>
      <w:iCs w:val="0"/>
      <w:smallCaps w:val="0"/>
      <w:strike w:val="0"/>
      <w:sz w:val="36"/>
      <w:szCs w:val="36"/>
      <w:u w:val="none"/>
    </w:rPr>
  </w:style>
  <w:style w:type="character" w:customStyle="1" w:styleId="Bodytext1">
    <w:name w:val="Body text|1_"/>
    <w:basedOn w:val="DefaultParagraphFont"/>
    <w:link w:val="Bodytext10"/>
    <w:rPr>
      <w:rFonts w:ascii="Calibri" w:eastAsia="Calibri" w:hAnsi="Calibri" w:cs="Calibri"/>
      <w:b w:val="0"/>
      <w:bCs w:val="0"/>
      <w:i w:val="0"/>
      <w:iCs w:val="0"/>
      <w:smallCaps w:val="0"/>
      <w:strike w:val="0"/>
      <w:sz w:val="22"/>
      <w:szCs w:val="22"/>
      <w:u w:val="none"/>
    </w:rPr>
  </w:style>
  <w:style w:type="character" w:customStyle="1" w:styleId="Heading21">
    <w:name w:val="Heading #2|1_"/>
    <w:basedOn w:val="DefaultParagraphFont"/>
    <w:link w:val="Heading210"/>
    <w:rPr>
      <w:rFonts w:ascii="Calibri" w:eastAsia="Calibri" w:hAnsi="Calibri" w:cs="Calibri"/>
      <w:b/>
      <w:bCs/>
      <w:i w:val="0"/>
      <w:iCs w:val="0"/>
      <w:smallCaps w:val="0"/>
      <w:strike w:val="0"/>
      <w:sz w:val="22"/>
      <w:szCs w:val="22"/>
      <w:u w:val="none"/>
    </w:rPr>
  </w:style>
  <w:style w:type="character" w:customStyle="1" w:styleId="Tablecaption1">
    <w:name w:val="Table caption|1_"/>
    <w:basedOn w:val="DefaultParagraphFont"/>
    <w:link w:val="Tablecaption10"/>
    <w:rPr>
      <w:rFonts w:ascii="Calibri" w:eastAsia="Calibri" w:hAnsi="Calibri" w:cs="Calibri"/>
      <w:b/>
      <w:bCs/>
      <w:i/>
      <w:iCs/>
      <w:smallCaps w:val="0"/>
      <w:strike w:val="0"/>
      <w:sz w:val="22"/>
      <w:szCs w:val="22"/>
      <w:u w:val="none"/>
    </w:rPr>
  </w:style>
  <w:style w:type="character" w:customStyle="1" w:styleId="Other1">
    <w:name w:val="Other|1_"/>
    <w:basedOn w:val="DefaultParagraphFont"/>
    <w:link w:val="Other10"/>
    <w:rPr>
      <w:rFonts w:ascii="Calibri" w:eastAsia="Calibri" w:hAnsi="Calibri" w:cs="Calibri"/>
      <w:b w:val="0"/>
      <w:bCs w:val="0"/>
      <w:i w:val="0"/>
      <w:iCs w:val="0"/>
      <w:smallCaps w:val="0"/>
      <w:strike w:val="0"/>
      <w:sz w:val="22"/>
      <w:szCs w:val="22"/>
      <w:u w:val="none"/>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Bodytext20">
    <w:name w:val="Body text|2"/>
    <w:basedOn w:val="Normal"/>
    <w:link w:val="Bodytext2"/>
    <w:pPr>
      <w:shd w:val="clear" w:color="auto" w:fill="FFFFFF"/>
      <w:spacing w:after="50" w:line="288" w:lineRule="auto"/>
      <w:jc w:val="center"/>
    </w:pPr>
    <w:rPr>
      <w:rFonts w:ascii="Calibri" w:eastAsia="Calibri" w:hAnsi="Calibri" w:cs="Calibri"/>
      <w:sz w:val="32"/>
      <w:szCs w:val="32"/>
    </w:rPr>
  </w:style>
  <w:style w:type="paragraph" w:customStyle="1" w:styleId="Heading110">
    <w:name w:val="Heading #1|1"/>
    <w:basedOn w:val="Normal"/>
    <w:link w:val="Heading11"/>
    <w:pPr>
      <w:shd w:val="clear" w:color="auto" w:fill="FFFFFF"/>
      <w:spacing w:line="271" w:lineRule="auto"/>
      <w:ind w:left="140"/>
      <w:outlineLvl w:val="0"/>
    </w:pPr>
    <w:rPr>
      <w:rFonts w:ascii="Calibri" w:eastAsia="Calibri" w:hAnsi="Calibri" w:cs="Calibri"/>
      <w:sz w:val="36"/>
      <w:szCs w:val="36"/>
    </w:rPr>
  </w:style>
  <w:style w:type="paragraph" w:customStyle="1" w:styleId="Bodytext10">
    <w:name w:val="Body text|1"/>
    <w:basedOn w:val="Normal"/>
    <w:link w:val="Bodytext1"/>
    <w:pPr>
      <w:shd w:val="clear" w:color="auto" w:fill="FFFFFF"/>
      <w:spacing w:after="160" w:line="254" w:lineRule="auto"/>
    </w:pPr>
    <w:rPr>
      <w:rFonts w:ascii="Calibri" w:eastAsia="Calibri" w:hAnsi="Calibri" w:cs="Calibri"/>
      <w:sz w:val="22"/>
      <w:szCs w:val="22"/>
    </w:rPr>
  </w:style>
  <w:style w:type="paragraph" w:customStyle="1" w:styleId="Heading210">
    <w:name w:val="Heading #2|1"/>
    <w:basedOn w:val="Normal"/>
    <w:link w:val="Heading21"/>
    <w:pPr>
      <w:shd w:val="clear" w:color="auto" w:fill="FFFFFF"/>
      <w:spacing w:after="160" w:line="254" w:lineRule="auto"/>
      <w:outlineLvl w:val="1"/>
    </w:pPr>
    <w:rPr>
      <w:rFonts w:ascii="Calibri" w:eastAsia="Calibri" w:hAnsi="Calibri" w:cs="Calibri"/>
      <w:b/>
      <w:bCs/>
      <w:sz w:val="22"/>
      <w:szCs w:val="22"/>
    </w:rPr>
  </w:style>
  <w:style w:type="paragraph" w:customStyle="1" w:styleId="Tablecaption10">
    <w:name w:val="Table caption|1"/>
    <w:basedOn w:val="Normal"/>
    <w:link w:val="Tablecaption1"/>
    <w:pPr>
      <w:shd w:val="clear" w:color="auto" w:fill="FFFFFF"/>
      <w:spacing w:line="257" w:lineRule="auto"/>
    </w:pPr>
    <w:rPr>
      <w:rFonts w:ascii="Calibri" w:eastAsia="Calibri" w:hAnsi="Calibri" w:cs="Calibri"/>
      <w:b/>
      <w:bCs/>
      <w:i/>
      <w:iCs/>
      <w:sz w:val="22"/>
      <w:szCs w:val="22"/>
    </w:rPr>
  </w:style>
  <w:style w:type="paragraph" w:customStyle="1" w:styleId="Other10">
    <w:name w:val="Other|1"/>
    <w:basedOn w:val="Normal"/>
    <w:link w:val="Other1"/>
    <w:pPr>
      <w:shd w:val="clear" w:color="auto" w:fill="FFFFFF"/>
      <w:spacing w:after="160" w:line="254" w:lineRule="auto"/>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AF6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F5"/>
    <w:rPr>
      <w:rFonts w:ascii="Segoe UI" w:hAnsi="Segoe UI" w:cs="Segoe UI"/>
      <w:color w:val="000000"/>
      <w:sz w:val="18"/>
      <w:szCs w:val="18"/>
    </w:rPr>
  </w:style>
  <w:style w:type="paragraph" w:customStyle="1" w:styleId="Default">
    <w:name w:val="Default"/>
    <w:rsid w:val="008D71E7"/>
    <w:pPr>
      <w:widowControl/>
      <w:autoSpaceDE w:val="0"/>
      <w:autoSpaceDN w:val="0"/>
      <w:adjustRightInd w:val="0"/>
    </w:pPr>
    <w:rPr>
      <w:rFonts w:ascii="Arial Narrow" w:eastAsiaTheme="minorHAnsi" w:hAnsi="Arial Narrow" w:cs="Arial Narrow"/>
      <w:color w:val="000000"/>
      <w:lang w:bidi="ar-SA"/>
    </w:r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Ha"/>
    <w:basedOn w:val="Normal"/>
    <w:link w:val="ListParagraphChar"/>
    <w:uiPriority w:val="34"/>
    <w:qFormat/>
    <w:rsid w:val="008D71E7"/>
    <w:pPr>
      <w:widowControl/>
      <w:ind w:left="720"/>
      <w:contextualSpacing/>
    </w:pPr>
    <w:rPr>
      <w:color w:val="auto"/>
      <w:lang w:eastAsia="en-GB" w:bidi="ar-SA"/>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Ha Char"/>
    <w:link w:val="ListParagraph"/>
    <w:uiPriority w:val="34"/>
    <w:qFormat/>
    <w:locked/>
    <w:rsid w:val="008D71E7"/>
    <w:rPr>
      <w:lang w:val="fr-FR" w:eastAsia="en-GB" w:bidi="ar-SA"/>
    </w:rPr>
  </w:style>
  <w:style w:type="character" w:styleId="CommentReference">
    <w:name w:val="annotation reference"/>
    <w:basedOn w:val="DefaultParagraphFont"/>
    <w:uiPriority w:val="99"/>
    <w:semiHidden/>
    <w:unhideWhenUsed/>
    <w:rsid w:val="00AD175D"/>
    <w:rPr>
      <w:sz w:val="16"/>
      <w:szCs w:val="16"/>
    </w:rPr>
  </w:style>
  <w:style w:type="paragraph" w:styleId="CommentText">
    <w:name w:val="annotation text"/>
    <w:basedOn w:val="Normal"/>
    <w:link w:val="CommentTextChar"/>
    <w:uiPriority w:val="99"/>
    <w:semiHidden/>
    <w:unhideWhenUsed/>
    <w:rsid w:val="00AD175D"/>
    <w:rPr>
      <w:sz w:val="20"/>
      <w:szCs w:val="20"/>
    </w:rPr>
  </w:style>
  <w:style w:type="character" w:customStyle="1" w:styleId="CommentTextChar">
    <w:name w:val="Comment Text Char"/>
    <w:basedOn w:val="DefaultParagraphFont"/>
    <w:link w:val="CommentText"/>
    <w:uiPriority w:val="99"/>
    <w:semiHidden/>
    <w:rsid w:val="00AD175D"/>
    <w:rPr>
      <w:color w:val="000000"/>
      <w:sz w:val="20"/>
      <w:szCs w:val="20"/>
    </w:rPr>
  </w:style>
  <w:style w:type="paragraph" w:styleId="CommentSubject">
    <w:name w:val="annotation subject"/>
    <w:basedOn w:val="CommentText"/>
    <w:next w:val="CommentText"/>
    <w:link w:val="CommentSubjectChar"/>
    <w:uiPriority w:val="99"/>
    <w:semiHidden/>
    <w:unhideWhenUsed/>
    <w:rsid w:val="00AD175D"/>
    <w:rPr>
      <w:b/>
      <w:bCs/>
    </w:rPr>
  </w:style>
  <w:style w:type="character" w:customStyle="1" w:styleId="CommentSubjectChar">
    <w:name w:val="Comment Subject Char"/>
    <w:basedOn w:val="CommentTextChar"/>
    <w:link w:val="CommentSubject"/>
    <w:uiPriority w:val="99"/>
    <w:semiHidden/>
    <w:rsid w:val="00AD175D"/>
    <w:rPr>
      <w:b/>
      <w:bCs/>
      <w:color w:val="000000"/>
      <w:sz w:val="20"/>
      <w:szCs w:val="20"/>
    </w:rPr>
  </w:style>
  <w:style w:type="paragraph" w:styleId="Revision">
    <w:name w:val="Revision"/>
    <w:hidden/>
    <w:uiPriority w:val="99"/>
    <w:semiHidden/>
    <w:rsid w:val="000377D8"/>
    <w:pPr>
      <w:widowControl/>
    </w:pPr>
    <w:rPr>
      <w:color w:val="000000"/>
    </w:rPr>
  </w:style>
  <w:style w:type="character" w:customStyle="1" w:styleId="Heading1Char">
    <w:name w:val="Heading 1 Char"/>
    <w:basedOn w:val="DefaultParagraphFont"/>
    <w:link w:val="Heading1"/>
    <w:uiPriority w:val="9"/>
    <w:rsid w:val="00290FA4"/>
    <w:rPr>
      <w:rFonts w:ascii="Arial" w:eastAsiaTheme="majorEastAsia" w:hAnsi="Arial" w:cstheme="majorBidi"/>
      <w:b/>
      <w:bCs/>
      <w:sz w:val="26"/>
      <w:szCs w:val="28"/>
      <w:lang w:bidi="ar-SA"/>
    </w:rPr>
  </w:style>
  <w:style w:type="character" w:customStyle="1" w:styleId="Heading2Char">
    <w:name w:val="Heading 2 Char"/>
    <w:basedOn w:val="DefaultParagraphFont"/>
    <w:link w:val="Heading2"/>
    <w:uiPriority w:val="9"/>
    <w:rsid w:val="00290FA4"/>
    <w:rPr>
      <w:rFonts w:ascii="Arial" w:eastAsiaTheme="majorEastAsia" w:hAnsi="Arial" w:cstheme="majorBidi"/>
      <w:b/>
      <w:bCs/>
      <w:szCs w:val="26"/>
      <w:lang w:bidi="ar-SA"/>
    </w:rPr>
  </w:style>
  <w:style w:type="character" w:customStyle="1" w:styleId="Heading3Char">
    <w:name w:val="Heading 3 Char"/>
    <w:basedOn w:val="DefaultParagraphFont"/>
    <w:link w:val="Heading3"/>
    <w:uiPriority w:val="9"/>
    <w:rsid w:val="00290FA4"/>
    <w:rPr>
      <w:rFonts w:ascii="Arial" w:eastAsiaTheme="majorEastAsia" w:hAnsi="Arial" w:cstheme="majorBidi"/>
      <w:b/>
      <w:bCs/>
      <w:sz w:val="22"/>
      <w:szCs w:val="22"/>
      <w:lang w:bidi="ar-SA"/>
    </w:rPr>
  </w:style>
  <w:style w:type="character" w:customStyle="1" w:styleId="Heading4Char">
    <w:name w:val="Heading 4 Char"/>
    <w:basedOn w:val="DefaultParagraphFont"/>
    <w:link w:val="Heading4"/>
    <w:uiPriority w:val="9"/>
    <w:semiHidden/>
    <w:rsid w:val="00290FA4"/>
    <w:rPr>
      <w:rFonts w:asciiTheme="majorHAnsi" w:eastAsiaTheme="majorEastAsia" w:hAnsiTheme="majorHAnsi" w:cstheme="majorBidi"/>
      <w:b/>
      <w:bCs/>
      <w:i/>
      <w:iCs/>
      <w:color w:val="5B9BD5" w:themeColor="accent1"/>
      <w:sz w:val="22"/>
      <w:szCs w:val="22"/>
      <w:lang w:bidi="ar-SA"/>
    </w:rPr>
  </w:style>
  <w:style w:type="character" w:customStyle="1" w:styleId="Heading5Char">
    <w:name w:val="Heading 5 Char"/>
    <w:basedOn w:val="DefaultParagraphFont"/>
    <w:link w:val="Heading5"/>
    <w:uiPriority w:val="9"/>
    <w:semiHidden/>
    <w:rsid w:val="00290FA4"/>
    <w:rPr>
      <w:rFonts w:asciiTheme="majorHAnsi" w:eastAsiaTheme="majorEastAsia" w:hAnsiTheme="majorHAnsi" w:cstheme="majorBidi"/>
      <w:color w:val="1F4D78" w:themeColor="accent1" w:themeShade="7F"/>
      <w:sz w:val="22"/>
      <w:szCs w:val="22"/>
      <w:lang w:bidi="ar-SA"/>
    </w:rPr>
  </w:style>
  <w:style w:type="character" w:customStyle="1" w:styleId="Heading6Char">
    <w:name w:val="Heading 6 Char"/>
    <w:basedOn w:val="DefaultParagraphFont"/>
    <w:link w:val="Heading6"/>
    <w:uiPriority w:val="9"/>
    <w:semiHidden/>
    <w:rsid w:val="00290FA4"/>
    <w:rPr>
      <w:rFonts w:asciiTheme="majorHAnsi" w:eastAsiaTheme="majorEastAsia" w:hAnsiTheme="majorHAnsi" w:cstheme="majorBidi"/>
      <w:i/>
      <w:iCs/>
      <w:color w:val="1F4D78" w:themeColor="accent1" w:themeShade="7F"/>
      <w:sz w:val="22"/>
      <w:szCs w:val="22"/>
      <w:lang w:bidi="ar-SA"/>
    </w:rPr>
  </w:style>
  <w:style w:type="character" w:customStyle="1" w:styleId="Heading7Char">
    <w:name w:val="Heading 7 Char"/>
    <w:basedOn w:val="DefaultParagraphFont"/>
    <w:link w:val="Heading7"/>
    <w:uiPriority w:val="9"/>
    <w:semiHidden/>
    <w:rsid w:val="00290FA4"/>
    <w:rPr>
      <w:rFonts w:asciiTheme="majorHAnsi" w:eastAsiaTheme="majorEastAsia" w:hAnsiTheme="majorHAnsi" w:cstheme="majorBidi"/>
      <w:i/>
      <w:iCs/>
      <w:color w:val="404040" w:themeColor="text1" w:themeTint="BF"/>
      <w:sz w:val="22"/>
      <w:szCs w:val="22"/>
      <w:lang w:bidi="ar-SA"/>
    </w:rPr>
  </w:style>
  <w:style w:type="character" w:customStyle="1" w:styleId="Heading8Char">
    <w:name w:val="Heading 8 Char"/>
    <w:basedOn w:val="DefaultParagraphFont"/>
    <w:link w:val="Heading8"/>
    <w:uiPriority w:val="9"/>
    <w:semiHidden/>
    <w:rsid w:val="00290FA4"/>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290FA4"/>
    <w:rPr>
      <w:rFonts w:asciiTheme="majorHAnsi" w:eastAsiaTheme="majorEastAsia" w:hAnsiTheme="majorHAnsi" w:cstheme="majorBidi"/>
      <w:i/>
      <w:iCs/>
      <w:color w:val="404040" w:themeColor="text1" w:themeTint="BF"/>
      <w:sz w:val="20"/>
      <w:szCs w:val="20"/>
      <w:lang w:bidi="ar-SA"/>
    </w:rPr>
  </w:style>
  <w:style w:type="character" w:styleId="Hyperlink">
    <w:name w:val="Hyperlink"/>
    <w:basedOn w:val="DefaultParagraphFont"/>
    <w:uiPriority w:val="99"/>
    <w:unhideWhenUsed/>
    <w:rsid w:val="00D52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embekani.luthuli@sapp.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Joy Phiri</cp:lastModifiedBy>
  <cp:revision>4</cp:revision>
  <dcterms:created xsi:type="dcterms:W3CDTF">2022-04-04T12:45:00Z</dcterms:created>
  <dcterms:modified xsi:type="dcterms:W3CDTF">2022-04-13T09:56:00Z</dcterms:modified>
</cp:coreProperties>
</file>