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701" w:val="left" w:leader="none"/>
        </w:tabs>
        <w:spacing w:line="240" w:lineRule="auto"/>
        <w:ind w:left="9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82647" cy="18859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47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577227" cy="171611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227" cy="171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line="372" w:lineRule="auto" w:before="44"/>
        <w:ind w:left="1631" w:right="1626" w:firstLine="893"/>
        <w:jc w:val="left"/>
        <w:rPr>
          <w:b/>
          <w:sz w:val="28"/>
        </w:rPr>
      </w:pPr>
      <w:r>
        <w:rPr>
          <w:b/>
          <w:color w:val="0D0D0D"/>
          <w:sz w:val="28"/>
        </w:rPr>
        <w:t>Terms of Reference for a Consultancy: Costing of the E8 Malaria Strategic Plan (2021 –</w:t>
      </w:r>
      <w:r>
        <w:rPr>
          <w:b/>
          <w:color w:val="0D0D0D"/>
          <w:spacing w:val="-20"/>
          <w:sz w:val="28"/>
        </w:rPr>
        <w:t> </w:t>
      </w:r>
      <w:r>
        <w:rPr>
          <w:b/>
          <w:color w:val="0D0D0D"/>
          <w:sz w:val="28"/>
        </w:rPr>
        <w:t>2025)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546" w:val="left" w:leader="none"/>
          <w:tab w:pos="547" w:val="left" w:leader="none"/>
        </w:tabs>
        <w:spacing w:line="240" w:lineRule="auto" w:before="57" w:after="0"/>
        <w:ind w:left="546" w:right="0" w:hanging="428"/>
        <w:jc w:val="left"/>
      </w:pPr>
      <w:r>
        <w:rPr/>
        <w:t>Overview</w:t>
      </w:r>
    </w:p>
    <w:p>
      <w:pPr>
        <w:pStyle w:val="BodyText"/>
        <w:spacing w:line="259" w:lineRule="auto" w:before="180"/>
        <w:ind w:left="119" w:right="265"/>
        <w:jc w:val="both"/>
      </w:pPr>
      <w:r>
        <w:rPr/>
        <w:t>The SADC Malaria Elimination Eight Regional Initiative (E8) is a coalition of eight countries; Angola, Botswana, Eswatini, Mozambique, Namibia, South Africa, Zambia and Zimbabwe, working across national borders to eliminate malaria in the sub-region by 2030. The E8 was formed in 2009 and is led by the Ministers of Health in eight SADC countries with a mandate to plan, coordinate, and execute a regional</w:t>
      </w:r>
      <w:r>
        <w:rPr>
          <w:spacing w:val="-16"/>
        </w:rPr>
        <w:t> </w:t>
      </w:r>
      <w:r>
        <w:rPr/>
        <w:t>malaria</w:t>
      </w:r>
      <w:r>
        <w:rPr>
          <w:spacing w:val="-14"/>
        </w:rPr>
        <w:t> </w:t>
      </w:r>
      <w:r>
        <w:rPr/>
        <w:t>elimination</w:t>
      </w:r>
      <w:r>
        <w:rPr>
          <w:spacing w:val="-14"/>
        </w:rPr>
        <w:t> </w:t>
      </w:r>
      <w:r>
        <w:rPr/>
        <w:t>strategy.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malaria</w:t>
      </w:r>
      <w:r>
        <w:rPr>
          <w:spacing w:val="-13"/>
        </w:rPr>
        <w:t> </w:t>
      </w:r>
      <w:r>
        <w:rPr/>
        <w:t>response</w:t>
      </w:r>
      <w:r>
        <w:rPr>
          <w:spacing w:val="-15"/>
        </w:rPr>
        <w:t> </w:t>
      </w:r>
      <w:r>
        <w:rPr/>
        <w:t>arm</w:t>
      </w:r>
      <w:r>
        <w:rPr>
          <w:spacing w:val="-14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3"/>
        </w:rPr>
        <w:t> </w:t>
      </w:r>
      <w:r>
        <w:rPr/>
        <w:t>Southern</w:t>
      </w:r>
      <w:r>
        <w:rPr>
          <w:spacing w:val="-14"/>
        </w:rPr>
        <w:t> </w:t>
      </w:r>
      <w:r>
        <w:rPr/>
        <w:t>Africa</w:t>
      </w:r>
      <w:r>
        <w:rPr>
          <w:spacing w:val="-13"/>
        </w:rPr>
        <w:t> </w:t>
      </w:r>
      <w:r>
        <w:rPr/>
        <w:t>Development Community (SADC), the E8 is pioneering an ambitious regional approach and driving collective action to</w:t>
      </w:r>
      <w:r>
        <w:rPr>
          <w:spacing w:val="-2"/>
        </w:rPr>
        <w:t> </w:t>
      </w:r>
      <w:r>
        <w:rPr/>
        <w:t>end</w:t>
      </w:r>
      <w:r>
        <w:rPr>
          <w:spacing w:val="-6"/>
        </w:rPr>
        <w:t> </w:t>
      </w:r>
      <w:r>
        <w:rPr/>
        <w:t>this</w:t>
      </w:r>
      <w:r>
        <w:rPr>
          <w:spacing w:val="-2"/>
        </w:rPr>
        <w:t> </w:t>
      </w:r>
      <w:r>
        <w:rPr/>
        <w:t>deadly</w:t>
      </w:r>
      <w:r>
        <w:rPr>
          <w:spacing w:val="-2"/>
        </w:rPr>
        <w:t> </w:t>
      </w:r>
      <w:r>
        <w:rPr/>
        <w:t>disease</w:t>
      </w:r>
      <w:r>
        <w:rPr>
          <w:spacing w:val="-5"/>
        </w:rPr>
        <w:t> </w:t>
      </w:r>
      <w:r>
        <w:rPr/>
        <w:t>once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all.</w:t>
      </w:r>
      <w:r>
        <w:rPr>
          <w:spacing w:val="-3"/>
        </w:rPr>
        <w:t> </w:t>
      </w:r>
      <w:r>
        <w:rPr/>
        <w:t>Guided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belief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countries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stronger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 work together, the E8 is building a model that will inform coordinated efforts in Southern Africa and beyond.</w:t>
      </w:r>
      <w:r>
        <w:rPr>
          <w:spacing w:val="-6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E8,</w:t>
      </w:r>
      <w:r>
        <w:rPr>
          <w:spacing w:val="-5"/>
        </w:rPr>
        <w:t> </w:t>
      </w:r>
      <w:r>
        <w:rPr/>
        <w:t>member</w:t>
      </w:r>
      <w:r>
        <w:rPr>
          <w:spacing w:val="-5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collaborate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go</w:t>
      </w:r>
      <w:r>
        <w:rPr>
          <w:spacing w:val="-1"/>
        </w:rPr>
        <w:t> </w:t>
      </w:r>
      <w:r>
        <w:rPr/>
        <w:t>beyond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 or</w:t>
      </w:r>
      <w:r>
        <w:rPr>
          <w:spacing w:val="-13"/>
        </w:rPr>
        <w:t> </w:t>
      </w:r>
      <w:r>
        <w:rPr/>
        <w:t>mandate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one</w:t>
      </w:r>
      <w:r>
        <w:rPr>
          <w:spacing w:val="-13"/>
        </w:rPr>
        <w:t> </w:t>
      </w:r>
      <w:r>
        <w:rPr/>
        <w:t>country,</w:t>
      </w:r>
      <w:r>
        <w:rPr>
          <w:spacing w:val="-12"/>
        </w:rPr>
        <w:t> </w:t>
      </w:r>
      <w:r>
        <w:rPr/>
        <w:t>such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those</w:t>
      </w:r>
      <w:r>
        <w:rPr>
          <w:spacing w:val="-12"/>
        </w:rPr>
        <w:t> </w:t>
      </w:r>
      <w:r>
        <w:rPr/>
        <w:t>associated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access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for</w:t>
      </w:r>
      <w:r>
        <w:rPr>
          <w:spacing w:val="-13"/>
        </w:rPr>
        <w:t> </w:t>
      </w:r>
      <w:r>
        <w:rPr/>
        <w:t>mobile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migrant populations,</w:t>
      </w:r>
      <w:r>
        <w:rPr>
          <w:spacing w:val="-13"/>
        </w:rPr>
        <w:t> </w:t>
      </w:r>
      <w:r>
        <w:rPr/>
        <w:t>surveillance</w:t>
      </w:r>
      <w:r>
        <w:rPr>
          <w:spacing w:val="-10"/>
        </w:rPr>
        <w:t> </w:t>
      </w:r>
      <w:r>
        <w:rPr/>
        <w:t>across</w:t>
      </w:r>
      <w:r>
        <w:rPr>
          <w:spacing w:val="-13"/>
        </w:rPr>
        <w:t> </w:t>
      </w:r>
      <w:r>
        <w:rPr/>
        <w:t>connected</w:t>
      </w:r>
      <w:r>
        <w:rPr>
          <w:spacing w:val="-14"/>
        </w:rPr>
        <w:t> </w:t>
      </w:r>
      <w:r>
        <w:rPr/>
        <w:t>malaria</w:t>
      </w:r>
      <w:r>
        <w:rPr>
          <w:spacing w:val="-13"/>
        </w:rPr>
        <w:t> </w:t>
      </w:r>
      <w:r>
        <w:rPr/>
        <w:t>catchment</w:t>
      </w:r>
      <w:r>
        <w:rPr>
          <w:spacing w:val="-10"/>
        </w:rPr>
        <w:t> </w:t>
      </w:r>
      <w:r>
        <w:rPr/>
        <w:t>areas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different</w:t>
      </w:r>
      <w:r>
        <w:rPr>
          <w:spacing w:val="-10"/>
        </w:rPr>
        <w:t> </w:t>
      </w:r>
      <w:r>
        <w:rPr/>
        <w:t>countries,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pooling of specialized skills. The E8 Ministerial Committee is supported by a Technical Committee, and a Secretariat based in Windhoek,</w:t>
      </w:r>
      <w:r>
        <w:rPr>
          <w:spacing w:val="-7"/>
        </w:rPr>
        <w:t> </w:t>
      </w:r>
      <w:r>
        <w:rPr/>
        <w:t>Namibia.</w:t>
      </w:r>
    </w:p>
    <w:p>
      <w:pPr>
        <w:pStyle w:val="Heading1"/>
        <w:spacing w:before="156"/>
        <w:ind w:firstLine="0"/>
      </w:pPr>
      <w:r>
        <w:rPr/>
        <w:t>Vision, Goal and Strategic Objectives of the E8 Vision:</w:t>
      </w:r>
    </w:p>
    <w:p>
      <w:pPr>
        <w:pStyle w:val="BodyText"/>
        <w:spacing w:before="181"/>
        <w:ind w:left="119"/>
      </w:pPr>
      <w:r>
        <w:rPr>
          <w:b/>
        </w:rPr>
        <w:t>Vision: </w:t>
      </w:r>
      <w:r>
        <w:rPr/>
        <w:t>To have a malaria – free southern Africa</w:t>
      </w:r>
    </w:p>
    <w:p>
      <w:pPr>
        <w:pStyle w:val="BodyText"/>
        <w:spacing w:line="259" w:lineRule="auto" w:before="183"/>
        <w:ind w:left="119" w:right="270"/>
        <w:jc w:val="both"/>
      </w:pPr>
      <w:r>
        <w:rPr>
          <w:b/>
        </w:rPr>
        <w:t>Goal: </w:t>
      </w:r>
      <w:r>
        <w:rPr/>
        <w:t>Maintain a joint platform for collaboration and strategic programming to enable and accelerate towards zero local transmission in the eight countries, with elimination in four frontline countries by 2025.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spacing w:before="1"/>
        <w:ind w:firstLine="0"/>
      </w:pPr>
      <w:r>
        <w:rPr/>
        <w:t>Strategic Objectives</w:t>
      </w:r>
    </w:p>
    <w:p>
      <w:pPr>
        <w:spacing w:before="24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Objective 1: Coordinate and Engage</w:t>
      </w:r>
    </w:p>
    <w:p>
      <w:pPr>
        <w:pStyle w:val="BodyText"/>
        <w:spacing w:before="24"/>
        <w:ind w:left="119"/>
      </w:pPr>
      <w:r>
        <w:rPr/>
        <w:t>To coordinate and engage E8 countries and stakeholders in achieving the regional elimination targets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  <w:ind w:firstLine="0"/>
      </w:pPr>
      <w:r>
        <w:rPr/>
        <w:t>Objective 2: Advocate and sustain</w:t>
      </w:r>
    </w:p>
    <w:p>
      <w:pPr>
        <w:pStyle w:val="BodyText"/>
        <w:spacing w:before="27"/>
        <w:ind w:left="119"/>
      </w:pPr>
      <w:r>
        <w:rPr/>
        <w:t>To maintain high political commitment to malaria elimination, ensure universal access to malaria</w:t>
      </w:r>
    </w:p>
    <w:p>
      <w:pPr>
        <w:spacing w:after="0"/>
        <w:sectPr>
          <w:footerReference w:type="default" r:id="rId5"/>
          <w:type w:val="continuous"/>
          <w:pgSz w:w="11920" w:h="16850"/>
          <w:pgMar w:footer="925" w:top="1580" w:bottom="1120" w:left="1220" w:right="1220"/>
          <w:pgNumType w:start="1"/>
        </w:sectPr>
      </w:pPr>
    </w:p>
    <w:p>
      <w:pPr>
        <w:pStyle w:val="BodyText"/>
        <w:spacing w:line="259" w:lineRule="auto" w:before="38"/>
        <w:ind w:left="119" w:right="988"/>
      </w:pPr>
      <w:r>
        <w:rPr/>
        <w:t>interventions, and ensure adequate, sustained technical and financial resources for malaria elimination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ind w:firstLine="0"/>
      </w:pPr>
      <w:r>
        <w:rPr/>
        <w:t>Objective 3: Harmonize, synchronize, and optimize</w:t>
      </w:r>
    </w:p>
    <w:p>
      <w:pPr>
        <w:pStyle w:val="BodyText"/>
        <w:spacing w:line="256" w:lineRule="auto" w:before="27"/>
        <w:ind w:left="119"/>
      </w:pPr>
      <w:r>
        <w:rPr/>
        <w:t>To harmonize, synchronize and optimize knowledge sharing and quality control, systems and policy development and implementation leading to elimination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546" w:val="left" w:leader="none"/>
          <w:tab w:pos="547" w:val="left" w:leader="none"/>
        </w:tabs>
        <w:spacing w:line="240" w:lineRule="auto" w:before="1" w:after="0"/>
        <w:ind w:left="546" w:right="0" w:hanging="428"/>
        <w:jc w:val="left"/>
      </w:pPr>
      <w:r>
        <w:rPr/>
        <w:t>Objectives of the</w:t>
      </w:r>
      <w:r>
        <w:rPr>
          <w:spacing w:val="-8"/>
        </w:rPr>
        <w:t> </w:t>
      </w:r>
      <w:r>
        <w:rPr/>
        <w:t>Consultancy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119" w:right="140"/>
      </w:pPr>
      <w:r>
        <w:rPr/>
        <w:t>A malaria strategic plan has been developed for the regional initiative detailing the strategic objectives and key performance areas for the years 2021 – 2025. As part of this strategic plan, an implementation and monitoring plan was developed. The main objective of the consultancy is to develop a detailed costing of the activities in the implementation plan of the strategy, to guide the region in the resources required to achieve its’ vision and goal.</w:t>
      </w:r>
    </w:p>
    <w:p>
      <w:pPr>
        <w:pStyle w:val="Heading1"/>
        <w:numPr>
          <w:ilvl w:val="0"/>
          <w:numId w:val="1"/>
        </w:numPr>
        <w:tabs>
          <w:tab w:pos="546" w:val="left" w:leader="none"/>
          <w:tab w:pos="547" w:val="left" w:leader="none"/>
        </w:tabs>
        <w:spacing w:line="240" w:lineRule="auto" w:before="182" w:after="0"/>
        <w:ind w:left="546" w:right="0" w:hanging="428"/>
        <w:jc w:val="left"/>
      </w:pPr>
      <w:r>
        <w:rPr/>
        <w:t>Key</w:t>
      </w:r>
      <w:r>
        <w:rPr>
          <w:spacing w:val="-1"/>
        </w:rPr>
        <w:t> </w:t>
      </w:r>
      <w:r>
        <w:rPr/>
        <w:t>deliverables:</w:t>
      </w:r>
    </w:p>
    <w:p>
      <w:pPr>
        <w:pStyle w:val="BodyText"/>
        <w:spacing w:line="256" w:lineRule="auto" w:before="182" w:after="5"/>
        <w:ind w:left="119" w:right="988"/>
      </w:pPr>
      <w:r>
        <w:rPr/>
        <w:t>The consultant is expected to deliver a detailed costing and budget of the E8 Malaria Strategy for 2021 – 2025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3118"/>
        <w:gridCol w:w="1855"/>
      </w:tblGrid>
      <w:tr>
        <w:trPr>
          <w:trHeight w:val="472" w:hRule="atLeast"/>
        </w:trPr>
        <w:tc>
          <w:tcPr>
            <w:tcW w:w="424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 Performance area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Deliverable</w:t>
            </w:r>
          </w:p>
        </w:tc>
        <w:tc>
          <w:tcPr>
            <w:tcW w:w="185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</w:p>
        </w:tc>
      </w:tr>
      <w:tr>
        <w:trPr>
          <w:trHeight w:val="762" w:hRule="atLeast"/>
        </w:trPr>
        <w:tc>
          <w:tcPr>
            <w:tcW w:w="4249" w:type="dxa"/>
          </w:tcPr>
          <w:p>
            <w:pPr>
              <w:pStyle w:val="TableParagraph"/>
              <w:spacing w:line="290" w:lineRule="atLeast" w:before="160"/>
              <w:ind w:right="1064"/>
              <w:rPr>
                <w:sz w:val="22"/>
              </w:rPr>
            </w:pPr>
            <w:r>
              <w:rPr>
                <w:sz w:val="22"/>
              </w:rPr>
              <w:t>Mapping of implementation areas by intervention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Cost inputs</w:t>
            </w:r>
          </w:p>
        </w:tc>
        <w:tc>
          <w:tcPr>
            <w:tcW w:w="18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 days</w:t>
            </w:r>
          </w:p>
        </w:tc>
      </w:tr>
      <w:tr>
        <w:trPr>
          <w:trHeight w:val="760" w:hRule="atLeast"/>
        </w:trPr>
        <w:tc>
          <w:tcPr>
            <w:tcW w:w="4249" w:type="dxa"/>
          </w:tcPr>
          <w:p>
            <w:pPr>
              <w:pStyle w:val="TableParagraph"/>
              <w:spacing w:line="280" w:lineRule="atLeast" w:before="170"/>
              <w:ind w:right="1289"/>
              <w:rPr>
                <w:sz w:val="22"/>
              </w:rPr>
            </w:pPr>
            <w:r>
              <w:rPr>
                <w:sz w:val="22"/>
              </w:rPr>
              <w:t>Market research on commodity and/or services pricing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Price list</w:t>
            </w:r>
          </w:p>
        </w:tc>
        <w:tc>
          <w:tcPr>
            <w:tcW w:w="18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6 days</w:t>
            </w:r>
          </w:p>
        </w:tc>
      </w:tr>
      <w:tr>
        <w:trPr>
          <w:trHeight w:val="472" w:hRule="atLeast"/>
        </w:trPr>
        <w:tc>
          <w:tcPr>
            <w:tcW w:w="4249" w:type="dxa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Populating budget template</w:t>
            </w:r>
          </w:p>
        </w:tc>
        <w:tc>
          <w:tcPr>
            <w:tcW w:w="3118" w:type="dxa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Draft budget</w:t>
            </w:r>
          </w:p>
        </w:tc>
        <w:tc>
          <w:tcPr>
            <w:tcW w:w="1855" w:type="dxa"/>
          </w:tcPr>
          <w:p>
            <w:pPr>
              <w:pStyle w:val="TableParagraph"/>
              <w:spacing w:before="182"/>
              <w:ind w:left="110"/>
              <w:rPr>
                <w:sz w:val="22"/>
              </w:rPr>
            </w:pPr>
            <w:r>
              <w:rPr>
                <w:sz w:val="22"/>
              </w:rPr>
              <w:t>3 days</w:t>
            </w:r>
          </w:p>
        </w:tc>
      </w:tr>
      <w:tr>
        <w:trPr>
          <w:trHeight w:val="760" w:hRule="atLeast"/>
        </w:trPr>
        <w:tc>
          <w:tcPr>
            <w:tcW w:w="4249" w:type="dxa"/>
          </w:tcPr>
          <w:p>
            <w:pPr>
              <w:pStyle w:val="TableParagraph"/>
              <w:spacing w:line="290" w:lineRule="atLeast" w:before="160"/>
              <w:ind w:right="1037"/>
              <w:rPr>
                <w:sz w:val="22"/>
              </w:rPr>
            </w:pPr>
            <w:r>
              <w:rPr>
                <w:sz w:val="22"/>
              </w:rPr>
              <w:t>Budget summaries, cost groupings and instructions for use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Comprehensive budget</w:t>
            </w:r>
          </w:p>
        </w:tc>
        <w:tc>
          <w:tcPr>
            <w:tcW w:w="185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3 days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907" w:val="left" w:leader="none"/>
        </w:tabs>
        <w:spacing w:line="240" w:lineRule="auto" w:before="0" w:after="0"/>
        <w:ind w:left="906" w:right="0" w:hanging="361"/>
        <w:jc w:val="left"/>
      </w:pPr>
      <w:r>
        <w:rPr/>
        <w:t>Duration of</w:t>
      </w:r>
      <w:r>
        <w:rPr>
          <w:spacing w:val="-3"/>
        </w:rPr>
        <w:t> </w:t>
      </w:r>
      <w:r>
        <w:rPr/>
        <w:t>Contract</w:t>
      </w:r>
    </w:p>
    <w:p>
      <w:pPr>
        <w:pStyle w:val="BodyText"/>
        <w:spacing w:before="22"/>
        <w:ind w:left="119"/>
      </w:pPr>
      <w:r>
        <w:rPr/>
        <w:t>15 days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546" w:val="left" w:leader="none"/>
          <w:tab w:pos="547" w:val="left" w:leader="none"/>
        </w:tabs>
        <w:spacing w:line="240" w:lineRule="auto" w:before="0" w:after="0"/>
        <w:ind w:left="546" w:right="0" w:hanging="428"/>
        <w:jc w:val="left"/>
      </w:pPr>
      <w:r>
        <w:rPr/>
        <w:t>Expected Profile of the</w:t>
      </w:r>
      <w:r>
        <w:rPr>
          <w:spacing w:val="-7"/>
        </w:rPr>
        <w:t> </w:t>
      </w:r>
      <w:r>
        <w:rPr/>
        <w:t>Consultant</w:t>
      </w:r>
    </w:p>
    <w:p>
      <w:pPr>
        <w:pStyle w:val="BodyText"/>
        <w:spacing w:before="180"/>
        <w:ind w:left="220"/>
      </w:pPr>
      <w:r>
        <w:rPr/>
        <w:t>This consultant and/or their team are expected to possess the following skills: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54" w:lineRule="auto" w:before="4" w:after="0"/>
        <w:ind w:left="940" w:right="1216" w:hanging="394"/>
        <w:jc w:val="left"/>
        <w:rPr>
          <w:sz w:val="22"/>
        </w:rPr>
      </w:pPr>
      <w:r>
        <w:rPr>
          <w:sz w:val="22"/>
        </w:rPr>
        <w:t>Advanced degree with formal training in health economics, health systems, public health, health services research, biostatistics, or other related</w:t>
      </w:r>
      <w:r>
        <w:rPr>
          <w:spacing w:val="-15"/>
          <w:sz w:val="22"/>
        </w:rPr>
        <w:t> </w:t>
      </w:r>
      <w:r>
        <w:rPr>
          <w:sz w:val="22"/>
        </w:rPr>
        <w:t>disciplines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56" w:lineRule="auto" w:before="2" w:after="0"/>
        <w:ind w:left="940" w:right="1039" w:hanging="394"/>
        <w:jc w:val="left"/>
        <w:rPr>
          <w:sz w:val="22"/>
        </w:rPr>
      </w:pPr>
      <w:r>
        <w:rPr>
          <w:sz w:val="22"/>
        </w:rPr>
        <w:t>At least five (05) years of experience in qualitative and quantitative market analysis, management, or strategic consulting in relevant field</w:t>
      </w:r>
      <w:r>
        <w:rPr>
          <w:spacing w:val="-9"/>
          <w:sz w:val="22"/>
        </w:rPr>
        <w:t> </w:t>
      </w:r>
      <w:r>
        <w:rPr>
          <w:sz w:val="22"/>
        </w:rPr>
        <w:t>preferred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79" w:lineRule="exact" w:before="0" w:after="0"/>
        <w:ind w:left="940" w:right="0" w:hanging="361"/>
        <w:jc w:val="left"/>
        <w:rPr>
          <w:sz w:val="22"/>
        </w:rPr>
      </w:pPr>
      <w:r>
        <w:rPr>
          <w:sz w:val="22"/>
        </w:rPr>
        <w:t>Advanced knowledge of market analysis concepts, analytical tools, and</w:t>
      </w:r>
      <w:r>
        <w:rPr>
          <w:spacing w:val="-15"/>
          <w:sz w:val="22"/>
        </w:rPr>
        <w:t> </w:t>
      </w:r>
      <w:r>
        <w:rPr>
          <w:sz w:val="22"/>
        </w:rPr>
        <w:t>methods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9" w:after="0"/>
        <w:ind w:left="940" w:right="0" w:hanging="363"/>
        <w:jc w:val="left"/>
        <w:rPr>
          <w:sz w:val="22"/>
        </w:rPr>
      </w:pPr>
      <w:r>
        <w:rPr>
          <w:sz w:val="22"/>
        </w:rPr>
        <w:t>Familiarity with regional programming and/or E8 country</w:t>
      </w:r>
      <w:r>
        <w:rPr>
          <w:spacing w:val="-8"/>
          <w:sz w:val="22"/>
        </w:rPr>
        <w:t> </w:t>
      </w:r>
      <w:r>
        <w:rPr>
          <w:sz w:val="22"/>
        </w:rPr>
        <w:t>contexts.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" w:after="0"/>
        <w:ind w:left="940" w:right="0" w:hanging="395"/>
        <w:jc w:val="left"/>
        <w:rPr>
          <w:sz w:val="22"/>
        </w:rPr>
      </w:pPr>
      <w:r>
        <w:rPr>
          <w:sz w:val="22"/>
        </w:rPr>
        <w:t>Comparable experience in global health will be an added</w:t>
      </w:r>
      <w:r>
        <w:rPr>
          <w:spacing w:val="-9"/>
          <w:sz w:val="22"/>
        </w:rPr>
        <w:t> </w:t>
      </w:r>
      <w:r>
        <w:rPr>
          <w:sz w:val="2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</w:tabs>
        <w:spacing w:line="240" w:lineRule="auto" w:before="39" w:after="0"/>
        <w:ind w:left="940" w:right="0" w:hanging="363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1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proficiency in</w:t>
      </w:r>
      <w:r>
        <w:rPr>
          <w:spacing w:val="-1"/>
          <w:sz w:val="22"/>
        </w:rPr>
        <w:t> </w:t>
      </w:r>
      <w:r>
        <w:rPr>
          <w:sz w:val="22"/>
        </w:rPr>
        <w:t>oral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written English;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Portuguese is</w:t>
      </w:r>
      <w:r>
        <w:rPr>
          <w:spacing w:val="-21"/>
          <w:sz w:val="22"/>
        </w:rPr>
        <w:t> </w:t>
      </w:r>
      <w:r>
        <w:rPr>
          <w:sz w:val="22"/>
        </w:rPr>
        <w:t>desirable.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546" w:val="left" w:leader="none"/>
          <w:tab w:pos="547" w:val="left" w:leader="none"/>
        </w:tabs>
        <w:spacing w:line="240" w:lineRule="auto" w:before="0" w:after="0"/>
        <w:ind w:left="546" w:right="0" w:hanging="428"/>
        <w:jc w:val="left"/>
      </w:pPr>
      <w:r>
        <w:rPr/>
        <w:t>How to</w:t>
      </w:r>
      <w:r>
        <w:rPr>
          <w:spacing w:val="-3"/>
        </w:rPr>
        <w:t> </w:t>
      </w:r>
      <w:r>
        <w:rPr/>
        <w:t>Apply</w:t>
      </w:r>
    </w:p>
    <w:p>
      <w:pPr>
        <w:pStyle w:val="BodyText"/>
        <w:spacing w:before="183"/>
        <w:ind w:left="119"/>
      </w:pPr>
      <w:r>
        <w:rPr/>
        <w:t>Applications can be sent to </w:t>
      </w:r>
      <w:hyperlink r:id="rId8">
        <w:r>
          <w:rPr>
            <w:color w:val="0000FF"/>
            <w:u w:val="single" w:color="0000FF"/>
          </w:rPr>
          <w:t>procurement@sadce8.org</w:t>
        </w:r>
        <w:r>
          <w:rPr>
            <w:color w:val="0000FF"/>
          </w:rPr>
          <w:t> </w:t>
        </w:r>
      </w:hyperlink>
      <w:r>
        <w:rPr/>
        <w:t>on or before the 24</w:t>
      </w:r>
      <w:r>
        <w:rPr>
          <w:vertAlign w:val="superscript"/>
        </w:rPr>
        <w:t>th</w:t>
      </w:r>
      <w:r>
        <w:rPr>
          <w:vertAlign w:val="baseline"/>
        </w:rPr>
        <w:t> of November 2021.</w:t>
      </w:r>
    </w:p>
    <w:sectPr>
      <w:pgSz w:w="11920" w:h="16850"/>
      <w:pgMar w:header="0" w:footer="925" w:top="1540" w:bottom="11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039978pt;margin-top:781.495972pt;width:11.6pt;height:13.05pt;mso-position-horizontal-relative:page;mso-position-vertical-relative:page;z-index:-2517975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6" w:hanging="428"/>
        <w:jc w:val="righ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940" w:hanging="394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87" w:hanging="39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835" w:hanging="39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783" w:hanging="39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731" w:hanging="39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79" w:hanging="39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627" w:hanging="39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575" w:hanging="3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9" w:hanging="428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940" w:hanging="428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81"/>
      <w:ind w:left="107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procurement@sadce8.org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Nyasha</dc:creator>
  <dcterms:created xsi:type="dcterms:W3CDTF">2021-11-12T12:05:49Z</dcterms:created>
  <dcterms:modified xsi:type="dcterms:W3CDTF">2021-11-12T12:05:49Z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2021-11-12T00:00:00Z</vt:filetime>
  </property>
</Properties>
</file>