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31" w:rsidRPr="00F11FDA" w:rsidRDefault="00851031" w:rsidP="00851031">
      <w:pPr>
        <w:spacing w:before="100" w:beforeAutospacing="1"/>
        <w:rPr>
          <w:noProof/>
          <w:lang w:val="fr-FR" w:eastAsia="fr-FR"/>
        </w:rPr>
      </w:pPr>
    </w:p>
    <w:p w:rsidR="00851031" w:rsidRPr="00F11FDA" w:rsidRDefault="00851031" w:rsidP="00851031">
      <w:pPr>
        <w:spacing w:before="960"/>
        <w:jc w:val="center"/>
        <w:rPr>
          <w:b/>
          <w:sz w:val="32"/>
        </w:rPr>
      </w:pPr>
      <w:r w:rsidRPr="003626D1">
        <w:rPr>
          <w:rFonts w:ascii="Arial" w:hAnsi="Arial" w:cs="Arial"/>
          <w:noProof/>
          <w:snapToGrid/>
          <w:lang w:val="en-US"/>
        </w:rPr>
        <w:drawing>
          <wp:inline distT="0" distB="0" distL="0" distR="0" wp14:anchorId="55A91417" wp14:editId="52748E65">
            <wp:extent cx="1085850" cy="1019175"/>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019175"/>
                    </a:xfrm>
                    <a:prstGeom prst="rect">
                      <a:avLst/>
                    </a:prstGeom>
                    <a:noFill/>
                    <a:ln>
                      <a:noFill/>
                    </a:ln>
                  </pic:spPr>
                </pic:pic>
              </a:graphicData>
            </a:graphic>
          </wp:inline>
        </w:drawing>
      </w:r>
    </w:p>
    <w:p w:rsidR="00851031" w:rsidRPr="00C051D1" w:rsidRDefault="00851031" w:rsidP="00851031">
      <w:pPr>
        <w:spacing w:before="960"/>
        <w:jc w:val="center"/>
        <w:rPr>
          <w:b/>
          <w:sz w:val="32"/>
        </w:rPr>
      </w:pPr>
      <w:r w:rsidRPr="00C051D1">
        <w:rPr>
          <w:b/>
          <w:sz w:val="32"/>
        </w:rPr>
        <w:t>Contracting Authority: Southern African Development Community</w:t>
      </w:r>
    </w:p>
    <w:p w:rsidR="00851031" w:rsidRPr="00C051D1" w:rsidRDefault="00851031" w:rsidP="00851031">
      <w:pPr>
        <w:pStyle w:val="Title"/>
        <w:spacing w:before="1320"/>
        <w:outlineLvl w:val="0"/>
        <w:rPr>
          <w:sz w:val="32"/>
          <w:szCs w:val="32"/>
        </w:rPr>
      </w:pPr>
      <w:r w:rsidRPr="00C051D1">
        <w:rPr>
          <w:sz w:val="32"/>
          <w:szCs w:val="32"/>
        </w:rPr>
        <w:t>Intra-ACP GCCA+ programme in the Southern African Development Community region</w:t>
      </w:r>
    </w:p>
    <w:p w:rsidR="00851031" w:rsidRPr="00C051D1" w:rsidRDefault="00851031" w:rsidP="00851031">
      <w:pPr>
        <w:pStyle w:val="SubTitle1"/>
        <w:spacing w:before="480"/>
        <w:rPr>
          <w:sz w:val="32"/>
          <w:szCs w:val="32"/>
        </w:rPr>
      </w:pPr>
      <w:r w:rsidRPr="00C051D1">
        <w:rPr>
          <w:sz w:val="32"/>
          <w:szCs w:val="32"/>
        </w:rPr>
        <w:t>Guidelines</w:t>
      </w:r>
      <w:r w:rsidRPr="00C051D1">
        <w:rPr>
          <w:sz w:val="32"/>
          <w:szCs w:val="32"/>
        </w:rPr>
        <w:br/>
        <w:t>for open grant applicants</w:t>
      </w:r>
    </w:p>
    <w:p w:rsidR="00851031" w:rsidRPr="00C051D1" w:rsidRDefault="00851031" w:rsidP="00851031">
      <w:pPr>
        <w:pStyle w:val="SubTitle2"/>
      </w:pPr>
      <w:r w:rsidRPr="00C051D1">
        <w:t xml:space="preserve">Reference: SADC/3/5/2/120 </w:t>
      </w:r>
    </w:p>
    <w:p w:rsidR="00851031" w:rsidRPr="00C051D1" w:rsidRDefault="00851031" w:rsidP="00851031">
      <w:pPr>
        <w:pStyle w:val="SubTitle2"/>
      </w:pPr>
      <w:r w:rsidRPr="00C051D1">
        <w:t>Budget: USD 2.000.000.00</w:t>
      </w:r>
    </w:p>
    <w:p w:rsidR="00851031" w:rsidRPr="00C051D1" w:rsidRDefault="00851031" w:rsidP="00851031">
      <w:pPr>
        <w:pStyle w:val="SubTitle2"/>
        <w:rPr>
          <w:szCs w:val="32"/>
        </w:rPr>
      </w:pPr>
      <w:r w:rsidRPr="00C051D1">
        <w:rPr>
          <w:szCs w:val="32"/>
        </w:rPr>
        <w:t xml:space="preserve">Deadline for submission of concept note and full application: </w:t>
      </w:r>
      <w:r w:rsidR="00A31E39">
        <w:rPr>
          <w:szCs w:val="32"/>
        </w:rPr>
        <w:t>29</w:t>
      </w:r>
      <w:r w:rsidRPr="00C051D1">
        <w:rPr>
          <w:szCs w:val="32"/>
        </w:rPr>
        <w:t xml:space="preserve">th </w:t>
      </w:r>
      <w:r w:rsidR="00A31E39">
        <w:rPr>
          <w:szCs w:val="32"/>
        </w:rPr>
        <w:t>January</w:t>
      </w:r>
      <w:r w:rsidRPr="00C051D1">
        <w:rPr>
          <w:szCs w:val="32"/>
        </w:rPr>
        <w:t xml:space="preserve"> 2021 </w:t>
      </w:r>
    </w:p>
    <w:p w:rsidR="00851031" w:rsidRPr="00F11FDA" w:rsidRDefault="00851031" w:rsidP="00851031">
      <w:pPr>
        <w:pStyle w:val="SubTitle1"/>
        <w:rPr>
          <w:sz w:val="32"/>
          <w:szCs w:val="32"/>
        </w:rPr>
      </w:pPr>
      <w:r w:rsidRPr="00F11FDA">
        <w:br w:type="page"/>
      </w:r>
      <w:r w:rsidRPr="00F11FDA">
        <w:rPr>
          <w:sz w:val="32"/>
          <w:szCs w:val="32"/>
        </w:rPr>
        <w:lastRenderedPageBreak/>
        <w:t>NOTICE</w:t>
      </w:r>
    </w:p>
    <w:p w:rsidR="00851031" w:rsidRPr="00F11FDA" w:rsidRDefault="00851031" w:rsidP="00851031">
      <w:pPr>
        <w:pStyle w:val="SubTitle2"/>
        <w:rPr>
          <w:sz w:val="22"/>
          <w:szCs w:val="22"/>
        </w:rPr>
      </w:pPr>
    </w:p>
    <w:p w:rsidR="00851031" w:rsidRPr="00F11FDA" w:rsidRDefault="00851031" w:rsidP="00851031">
      <w:pPr>
        <w:pStyle w:val="SubTitle2"/>
      </w:pPr>
      <w:r w:rsidRPr="00F11FDA">
        <w:t xml:space="preserve">Notice </w:t>
      </w:r>
    </w:p>
    <w:p w:rsidR="00851031" w:rsidRPr="00F11FDA" w:rsidRDefault="00851031" w:rsidP="00851031">
      <w:pPr>
        <w:pStyle w:val="Subtitle"/>
        <w:spacing w:after="240"/>
        <w:jc w:val="both"/>
        <w:rPr>
          <w:rFonts w:ascii="Times New Roman" w:hAnsi="Times New Roman"/>
          <w:b w:val="0"/>
          <w:sz w:val="22"/>
          <w:szCs w:val="22"/>
          <w:lang w:val="en-GB"/>
        </w:rPr>
        <w:sectPr w:rsidR="00851031" w:rsidRPr="00F11FDA" w:rsidSect="00ED2366">
          <w:footerReference w:type="even" r:id="rId8"/>
          <w:footerReference w:type="default" r:id="rId9"/>
          <w:footerReference w:type="first" r:id="rId10"/>
          <w:pgSz w:w="11906" w:h="16838" w:code="9"/>
          <w:pgMar w:top="1021" w:right="1134" w:bottom="1021" w:left="1134" w:header="567" w:footer="545" w:gutter="0"/>
          <w:pgNumType w:start="1"/>
          <w:cols w:space="720"/>
          <w:titlePg/>
        </w:sectPr>
      </w:pPr>
      <w:r w:rsidRPr="00E55259">
        <w:rPr>
          <w:rFonts w:ascii="Times New Roman" w:hAnsi="Times New Roman"/>
          <w:b w:val="0"/>
          <w:sz w:val="22"/>
          <w:szCs w:val="22"/>
          <w:lang w:val="en-GB"/>
        </w:rPr>
        <w:t>This is an open call for proposals,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p>
    <w:p w:rsidR="00851031" w:rsidRPr="00F11FDA" w:rsidRDefault="00851031" w:rsidP="00851031">
      <w:pPr>
        <w:pageBreakBefore/>
        <w:spacing w:after="600"/>
        <w:jc w:val="center"/>
        <w:rPr>
          <w:sz w:val="32"/>
        </w:rPr>
      </w:pPr>
      <w:r w:rsidRPr="00F11FDA">
        <w:rPr>
          <w:sz w:val="32"/>
        </w:rPr>
        <w:t>Table of contents</w:t>
      </w:r>
    </w:p>
    <w:p w:rsidR="00851031" w:rsidRPr="001663A5" w:rsidRDefault="00851031" w:rsidP="00851031">
      <w:pPr>
        <w:pStyle w:val="Guidelines1"/>
        <w:rPr>
          <w:rFonts w:ascii="Calibri" w:hAnsi="Calibri"/>
          <w:b w:val="0"/>
          <w:caps w:val="0"/>
          <w:noProof/>
          <w:snapToGrid/>
          <w:szCs w:val="22"/>
          <w:lang w:eastAsia="en-GB"/>
        </w:rPr>
      </w:pPr>
      <w:r w:rsidRPr="00F11FDA">
        <w:rPr>
          <w:sz w:val="28"/>
          <w:szCs w:val="28"/>
        </w:rPr>
        <w:fldChar w:fldCharType="begin"/>
      </w:r>
      <w:r w:rsidRPr="00F11FDA">
        <w:rPr>
          <w:sz w:val="28"/>
          <w:szCs w:val="28"/>
        </w:rPr>
        <w:instrText xml:space="preserve"> TOC \h \z \t "Guidelines 1;1;Guidelines 2;2;Guidelines 3;3" </w:instrText>
      </w:r>
      <w:r w:rsidRPr="00F11FDA">
        <w:rPr>
          <w:sz w:val="28"/>
          <w:szCs w:val="28"/>
        </w:rPr>
        <w:fldChar w:fldCharType="separate"/>
      </w:r>
      <w:hyperlink w:anchor="_Toc437893835" w:history="1">
        <w:r w:rsidRPr="00F11FDA">
          <w:rPr>
            <w:rStyle w:val="Hyperlink"/>
            <w:noProof/>
          </w:rPr>
          <w:t>1.</w:t>
        </w:r>
        <w:r w:rsidRPr="00F11FDA">
          <w:rPr>
            <w:rFonts w:ascii="Calibri" w:hAnsi="Calibri"/>
            <w:b w:val="0"/>
            <w:caps w:val="0"/>
            <w:noProof/>
            <w:snapToGrid/>
            <w:szCs w:val="22"/>
            <w:lang w:eastAsia="en-GB"/>
          </w:rPr>
          <w:tab/>
        </w:r>
        <w:r w:rsidRPr="00F11FDA">
          <w:t>Intra-ACP GCCA+ programme in the Southern African Development Community region</w:t>
        </w:r>
        <w:r w:rsidRPr="00F11FDA">
          <w:rPr>
            <w:noProof/>
            <w:webHidden/>
          </w:rPr>
          <w:tab/>
        </w:r>
        <w:r w:rsidRPr="00F11FDA">
          <w:rPr>
            <w:noProof/>
            <w:webHidden/>
          </w:rPr>
          <w:fldChar w:fldCharType="begin"/>
        </w:r>
        <w:r w:rsidRPr="00F11FDA">
          <w:rPr>
            <w:noProof/>
            <w:webHidden/>
          </w:rPr>
          <w:instrText xml:space="preserve"> PAGEREF _Toc437893835 \h </w:instrText>
        </w:r>
        <w:r w:rsidRPr="00F11FDA">
          <w:rPr>
            <w:noProof/>
            <w:webHidden/>
          </w:rPr>
        </w:r>
        <w:r w:rsidRPr="00F11FDA">
          <w:rPr>
            <w:noProof/>
            <w:webHidden/>
          </w:rPr>
          <w:fldChar w:fldCharType="separate"/>
        </w:r>
        <w:r w:rsidRPr="00F11FDA">
          <w:rPr>
            <w:noProof/>
            <w:webHidden/>
          </w:rPr>
          <w:t>4</w:t>
        </w:r>
        <w:r w:rsidRPr="00F11FDA">
          <w:rPr>
            <w:noProof/>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36" w:history="1">
        <w:r w:rsidR="00851031" w:rsidRPr="00F11FDA">
          <w:rPr>
            <w:rStyle w:val="Hyperlink"/>
            <w:noProof/>
          </w:rPr>
          <w:t>1.1.</w:t>
        </w:r>
        <w:r w:rsidR="00851031" w:rsidRPr="00F11FDA">
          <w:rPr>
            <w:rFonts w:ascii="Calibri" w:hAnsi="Calibri"/>
            <w:noProof/>
            <w:snapToGrid/>
            <w:szCs w:val="22"/>
            <w:lang w:eastAsia="en-GB"/>
          </w:rPr>
          <w:tab/>
        </w:r>
        <w:r w:rsidR="00851031" w:rsidRPr="00F11FDA">
          <w:rPr>
            <w:rStyle w:val="Hyperlink"/>
            <w:noProof/>
          </w:rPr>
          <w:t>Background</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_Toc437893836 \h </w:instrText>
        </w:r>
        <w:r w:rsidR="00851031" w:rsidRPr="00F11FDA">
          <w:rPr>
            <w:noProof/>
            <w:webHidden/>
          </w:rPr>
        </w:r>
        <w:r w:rsidR="00851031" w:rsidRPr="00F11FDA">
          <w:rPr>
            <w:noProof/>
            <w:webHidden/>
          </w:rPr>
          <w:fldChar w:fldCharType="separate"/>
        </w:r>
        <w:r w:rsidR="00851031" w:rsidRPr="00F11FDA">
          <w:rPr>
            <w:noProof/>
            <w:webHidden/>
          </w:rPr>
          <w:t>4</w:t>
        </w:r>
        <w:r w:rsidR="00851031" w:rsidRPr="00F11FDA">
          <w:rPr>
            <w:noProof/>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37" w:history="1">
        <w:r w:rsidR="00851031" w:rsidRPr="00F11FDA">
          <w:rPr>
            <w:rStyle w:val="Hyperlink"/>
            <w:noProof/>
          </w:rPr>
          <w:t>1.2.</w:t>
        </w:r>
        <w:r w:rsidR="00851031" w:rsidRPr="00F11FDA">
          <w:rPr>
            <w:rFonts w:ascii="Calibri" w:hAnsi="Calibri"/>
            <w:noProof/>
            <w:snapToGrid/>
            <w:szCs w:val="22"/>
            <w:lang w:eastAsia="en-GB"/>
          </w:rPr>
          <w:tab/>
        </w:r>
        <w:r w:rsidR="00851031" w:rsidRPr="00F11FDA">
          <w:rPr>
            <w:rStyle w:val="Hyperlink"/>
            <w:noProof/>
          </w:rPr>
          <w:t>Objectives of the programme and priority issues</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_Toc437893837 \h </w:instrText>
        </w:r>
        <w:r w:rsidR="00851031" w:rsidRPr="00F11FDA">
          <w:rPr>
            <w:noProof/>
            <w:webHidden/>
          </w:rPr>
        </w:r>
        <w:r w:rsidR="00851031" w:rsidRPr="00F11FDA">
          <w:rPr>
            <w:noProof/>
            <w:webHidden/>
          </w:rPr>
          <w:fldChar w:fldCharType="separate"/>
        </w:r>
        <w:r w:rsidR="00851031" w:rsidRPr="00F11FDA">
          <w:rPr>
            <w:noProof/>
            <w:webHidden/>
          </w:rPr>
          <w:t>4</w:t>
        </w:r>
        <w:r w:rsidR="00851031" w:rsidRPr="00F11FDA">
          <w:rPr>
            <w:noProof/>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38" w:history="1">
        <w:r w:rsidR="00851031" w:rsidRPr="00F11FDA">
          <w:rPr>
            <w:rStyle w:val="Hyperlink"/>
            <w:noProof/>
          </w:rPr>
          <w:t>1.3.</w:t>
        </w:r>
        <w:r w:rsidR="00851031" w:rsidRPr="00F11FDA">
          <w:rPr>
            <w:rFonts w:ascii="Calibri" w:hAnsi="Calibri"/>
            <w:noProof/>
            <w:snapToGrid/>
            <w:szCs w:val="22"/>
            <w:lang w:eastAsia="en-GB"/>
          </w:rPr>
          <w:tab/>
        </w:r>
        <w:r w:rsidR="00851031" w:rsidRPr="00F11FDA">
          <w:rPr>
            <w:rStyle w:val="Hyperlink"/>
            <w:noProof/>
          </w:rPr>
          <w:t>Financial allocation provided by the contracting authority</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_Toc437893838 \h </w:instrText>
        </w:r>
        <w:r w:rsidR="00851031" w:rsidRPr="00F11FDA">
          <w:rPr>
            <w:noProof/>
            <w:webHidden/>
          </w:rPr>
        </w:r>
        <w:r w:rsidR="00851031" w:rsidRPr="00F11FDA">
          <w:rPr>
            <w:noProof/>
            <w:webHidden/>
          </w:rPr>
          <w:fldChar w:fldCharType="separate"/>
        </w:r>
        <w:r w:rsidR="00851031" w:rsidRPr="00F11FDA">
          <w:rPr>
            <w:noProof/>
            <w:webHidden/>
          </w:rPr>
          <w:t>4</w:t>
        </w:r>
        <w:r w:rsidR="00851031" w:rsidRPr="00F11FDA">
          <w:rPr>
            <w:noProof/>
            <w:webHidden/>
          </w:rPr>
          <w:fldChar w:fldCharType="end"/>
        </w:r>
      </w:hyperlink>
    </w:p>
    <w:p w:rsidR="00851031" w:rsidRPr="00F11FDA" w:rsidRDefault="00FE2C86" w:rsidP="00851031">
      <w:pPr>
        <w:pStyle w:val="TOC1"/>
        <w:rPr>
          <w:rFonts w:ascii="Calibri" w:hAnsi="Calibri"/>
          <w:b w:val="0"/>
          <w:caps w:val="0"/>
          <w:noProof/>
          <w:snapToGrid/>
          <w:szCs w:val="22"/>
          <w:lang w:eastAsia="en-GB"/>
        </w:rPr>
      </w:pPr>
      <w:hyperlink w:anchor="_Toc437893839" w:history="1">
        <w:r w:rsidR="00851031" w:rsidRPr="00F11FDA">
          <w:rPr>
            <w:rStyle w:val="Hyperlink"/>
            <w:noProof/>
          </w:rPr>
          <w:t>2.</w:t>
        </w:r>
        <w:r w:rsidR="00851031" w:rsidRPr="00F11FDA">
          <w:rPr>
            <w:rFonts w:ascii="Calibri" w:hAnsi="Calibri"/>
            <w:b w:val="0"/>
            <w:caps w:val="0"/>
            <w:noProof/>
            <w:snapToGrid/>
            <w:szCs w:val="22"/>
            <w:lang w:eastAsia="en-GB"/>
          </w:rPr>
          <w:tab/>
        </w:r>
        <w:r w:rsidR="00851031" w:rsidRPr="00F11FDA">
          <w:rPr>
            <w:rStyle w:val="Hyperlink"/>
            <w:rFonts w:ascii="Times New Roman" w:hAnsi="Times New Roman"/>
            <w:noProof/>
          </w:rPr>
          <w:t>Rules FOR thIS call for proposalS</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_Toc437893839 \h </w:instrText>
        </w:r>
        <w:r w:rsidR="00851031" w:rsidRPr="00F11FDA">
          <w:rPr>
            <w:noProof/>
            <w:webHidden/>
          </w:rPr>
        </w:r>
        <w:r w:rsidR="00851031" w:rsidRPr="00F11FDA">
          <w:rPr>
            <w:noProof/>
            <w:webHidden/>
          </w:rPr>
          <w:fldChar w:fldCharType="separate"/>
        </w:r>
        <w:r w:rsidR="00851031" w:rsidRPr="00F11FDA">
          <w:rPr>
            <w:noProof/>
            <w:webHidden/>
          </w:rPr>
          <w:t>6</w:t>
        </w:r>
        <w:r w:rsidR="00851031" w:rsidRPr="00F11FDA">
          <w:rPr>
            <w:noProof/>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40" w:history="1">
        <w:r w:rsidR="00851031" w:rsidRPr="00F11FDA">
          <w:rPr>
            <w:rStyle w:val="Hyperlink"/>
            <w:noProof/>
          </w:rPr>
          <w:t>2.1.</w:t>
        </w:r>
        <w:r w:rsidR="00851031" w:rsidRPr="00F11FDA">
          <w:rPr>
            <w:rFonts w:ascii="Calibri" w:hAnsi="Calibri"/>
            <w:noProof/>
            <w:snapToGrid/>
            <w:szCs w:val="22"/>
            <w:lang w:eastAsia="en-GB"/>
          </w:rPr>
          <w:tab/>
        </w:r>
        <w:r w:rsidR="00851031" w:rsidRPr="00F11FDA">
          <w:rPr>
            <w:rStyle w:val="Hyperlink"/>
            <w:noProof/>
          </w:rPr>
          <w:t>Eligibility criteria</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_Toc437893840 \h </w:instrText>
        </w:r>
        <w:r w:rsidR="00851031" w:rsidRPr="00F11FDA">
          <w:rPr>
            <w:noProof/>
            <w:webHidden/>
          </w:rPr>
        </w:r>
        <w:r w:rsidR="00851031" w:rsidRPr="00F11FDA">
          <w:rPr>
            <w:noProof/>
            <w:webHidden/>
          </w:rPr>
          <w:fldChar w:fldCharType="separate"/>
        </w:r>
        <w:r w:rsidR="00851031" w:rsidRPr="00F11FDA">
          <w:rPr>
            <w:noProof/>
            <w:webHidden/>
          </w:rPr>
          <w:t>6</w:t>
        </w:r>
        <w:r w:rsidR="00851031" w:rsidRPr="00F11FDA">
          <w:rPr>
            <w:noProof/>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1" w:history="1">
        <w:r w:rsidR="00851031" w:rsidRPr="00F11FDA">
          <w:rPr>
            <w:rStyle w:val="Hyperlink"/>
            <w:rFonts w:ascii="Times New Roman Bold" w:hAnsi="Times New Roman Bold"/>
          </w:rPr>
          <w:t>2.1.1.</w:t>
        </w:r>
        <w:r w:rsidR="00851031" w:rsidRPr="00F11FDA">
          <w:rPr>
            <w:rFonts w:ascii="Calibri" w:hAnsi="Calibri"/>
            <w:snapToGrid/>
            <w:sz w:val="22"/>
            <w:szCs w:val="22"/>
            <w:lang w:eastAsia="en-GB"/>
          </w:rPr>
          <w:tab/>
        </w:r>
        <w:r w:rsidR="00851031" w:rsidRPr="00F11FDA">
          <w:rPr>
            <w:rStyle w:val="Hyperlink"/>
          </w:rPr>
          <w:t>Eligibility of applicants (i.e. lead applicant and co-applicant(s))</w:t>
        </w:r>
        <w:r w:rsidR="00851031" w:rsidRPr="00F11FDA">
          <w:rPr>
            <w:webHidden/>
          </w:rPr>
          <w:tab/>
        </w:r>
        <w:r w:rsidR="00851031" w:rsidRPr="00F11FDA">
          <w:rPr>
            <w:webHidden/>
          </w:rPr>
          <w:fldChar w:fldCharType="begin"/>
        </w:r>
        <w:r w:rsidR="00851031" w:rsidRPr="00F11FDA">
          <w:rPr>
            <w:webHidden/>
          </w:rPr>
          <w:instrText xml:space="preserve"> PAGEREF _Toc437893841 \h </w:instrText>
        </w:r>
        <w:r w:rsidR="00851031" w:rsidRPr="00F11FDA">
          <w:rPr>
            <w:webHidden/>
          </w:rPr>
        </w:r>
        <w:r w:rsidR="00851031" w:rsidRPr="00F11FDA">
          <w:rPr>
            <w:webHidden/>
          </w:rPr>
          <w:fldChar w:fldCharType="separate"/>
        </w:r>
        <w:r w:rsidR="00851031" w:rsidRPr="00F11FDA">
          <w:rPr>
            <w:webHidden/>
          </w:rPr>
          <w:t>6</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2" w:history="1">
        <w:r w:rsidR="00851031" w:rsidRPr="00F11FDA">
          <w:rPr>
            <w:rStyle w:val="Hyperlink"/>
            <w:rFonts w:ascii="Times New Roman Bold" w:hAnsi="Times New Roman Bold"/>
          </w:rPr>
          <w:t>2.1.2.</w:t>
        </w:r>
        <w:r w:rsidR="00851031" w:rsidRPr="00F11FDA">
          <w:rPr>
            <w:rFonts w:ascii="Calibri" w:hAnsi="Calibri"/>
            <w:snapToGrid/>
            <w:sz w:val="22"/>
            <w:szCs w:val="22"/>
            <w:lang w:eastAsia="en-GB"/>
          </w:rPr>
          <w:tab/>
        </w:r>
        <w:r w:rsidR="00851031" w:rsidRPr="00F11FDA">
          <w:rPr>
            <w:rStyle w:val="Hyperlink"/>
          </w:rPr>
          <w:t>Affiliated entities</w:t>
        </w:r>
        <w:r w:rsidR="00851031" w:rsidRPr="00F11FDA">
          <w:rPr>
            <w:webHidden/>
          </w:rPr>
          <w:tab/>
        </w:r>
        <w:r w:rsidR="00851031" w:rsidRPr="00F11FDA">
          <w:rPr>
            <w:webHidden/>
          </w:rPr>
          <w:fldChar w:fldCharType="begin"/>
        </w:r>
        <w:r w:rsidR="00851031" w:rsidRPr="00F11FDA">
          <w:rPr>
            <w:webHidden/>
          </w:rPr>
          <w:instrText xml:space="preserve"> PAGEREF _Toc437893842 \h </w:instrText>
        </w:r>
        <w:r w:rsidR="00851031" w:rsidRPr="00F11FDA">
          <w:rPr>
            <w:webHidden/>
          </w:rPr>
        </w:r>
        <w:r w:rsidR="00851031" w:rsidRPr="00F11FDA">
          <w:rPr>
            <w:webHidden/>
          </w:rPr>
          <w:fldChar w:fldCharType="separate"/>
        </w:r>
        <w:r w:rsidR="00851031" w:rsidRPr="00F11FDA">
          <w:rPr>
            <w:webHidden/>
          </w:rPr>
          <w:t>7</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3" w:history="1">
        <w:r w:rsidR="00851031" w:rsidRPr="00F11FDA">
          <w:rPr>
            <w:rStyle w:val="Hyperlink"/>
            <w:rFonts w:ascii="Times New Roman Bold" w:hAnsi="Times New Roman Bold"/>
          </w:rPr>
          <w:t>2.1.3.</w:t>
        </w:r>
        <w:r w:rsidR="00851031" w:rsidRPr="00F11FDA">
          <w:rPr>
            <w:rFonts w:ascii="Calibri" w:hAnsi="Calibri"/>
            <w:snapToGrid/>
            <w:sz w:val="22"/>
            <w:szCs w:val="22"/>
            <w:lang w:eastAsia="en-GB"/>
          </w:rPr>
          <w:tab/>
        </w:r>
        <w:r w:rsidR="00851031" w:rsidRPr="00F11FDA">
          <w:rPr>
            <w:rStyle w:val="Hyperlink"/>
          </w:rPr>
          <w:t>Associates and Contractors</w:t>
        </w:r>
        <w:r w:rsidR="00851031" w:rsidRPr="00F11FDA">
          <w:rPr>
            <w:webHidden/>
          </w:rPr>
          <w:tab/>
        </w:r>
        <w:r w:rsidR="00851031" w:rsidRPr="00F11FDA">
          <w:rPr>
            <w:webHidden/>
          </w:rPr>
          <w:fldChar w:fldCharType="begin"/>
        </w:r>
        <w:r w:rsidR="00851031" w:rsidRPr="00F11FDA">
          <w:rPr>
            <w:webHidden/>
          </w:rPr>
          <w:instrText xml:space="preserve"> PAGEREF _Toc437893843 \h </w:instrText>
        </w:r>
        <w:r w:rsidR="00851031" w:rsidRPr="00F11FDA">
          <w:rPr>
            <w:webHidden/>
          </w:rPr>
        </w:r>
        <w:r w:rsidR="00851031" w:rsidRPr="00F11FDA">
          <w:rPr>
            <w:webHidden/>
          </w:rPr>
          <w:fldChar w:fldCharType="separate"/>
        </w:r>
        <w:r w:rsidR="00851031" w:rsidRPr="00F11FDA">
          <w:rPr>
            <w:webHidden/>
          </w:rPr>
          <w:t>8</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4" w:history="1">
        <w:r w:rsidR="00851031" w:rsidRPr="00F11FDA">
          <w:rPr>
            <w:rStyle w:val="Hyperlink"/>
            <w:rFonts w:ascii="Times New Roman Bold" w:hAnsi="Times New Roman Bold"/>
          </w:rPr>
          <w:t>2.1.4.</w:t>
        </w:r>
        <w:r w:rsidR="00851031" w:rsidRPr="00F11FDA">
          <w:rPr>
            <w:rFonts w:ascii="Calibri" w:hAnsi="Calibri"/>
            <w:snapToGrid/>
            <w:sz w:val="22"/>
            <w:szCs w:val="22"/>
            <w:lang w:eastAsia="en-GB"/>
          </w:rPr>
          <w:tab/>
        </w:r>
        <w:r w:rsidR="00851031" w:rsidRPr="00F11FDA">
          <w:rPr>
            <w:rStyle w:val="Hyperlink"/>
          </w:rPr>
          <w:t>Eligible actions: actions for which an application may be made</w:t>
        </w:r>
        <w:r w:rsidR="00851031" w:rsidRPr="00F11FDA">
          <w:rPr>
            <w:webHidden/>
          </w:rPr>
          <w:tab/>
        </w:r>
        <w:r w:rsidR="00851031" w:rsidRPr="00F11FDA">
          <w:rPr>
            <w:webHidden/>
          </w:rPr>
          <w:fldChar w:fldCharType="begin"/>
        </w:r>
        <w:r w:rsidR="00851031" w:rsidRPr="00F11FDA">
          <w:rPr>
            <w:webHidden/>
          </w:rPr>
          <w:instrText xml:space="preserve"> PAGEREF _Toc437893844 \h </w:instrText>
        </w:r>
        <w:r w:rsidR="00851031" w:rsidRPr="00F11FDA">
          <w:rPr>
            <w:webHidden/>
          </w:rPr>
        </w:r>
        <w:r w:rsidR="00851031" w:rsidRPr="00F11FDA">
          <w:rPr>
            <w:webHidden/>
          </w:rPr>
          <w:fldChar w:fldCharType="separate"/>
        </w:r>
        <w:r w:rsidR="00851031" w:rsidRPr="00F11FDA">
          <w:rPr>
            <w:webHidden/>
          </w:rPr>
          <w:t>9</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5" w:history="1">
        <w:r w:rsidR="00851031" w:rsidRPr="00F11FDA">
          <w:rPr>
            <w:rStyle w:val="Hyperlink"/>
            <w:rFonts w:ascii="Times New Roman Bold" w:hAnsi="Times New Roman Bold"/>
          </w:rPr>
          <w:t>2.1.5.</w:t>
        </w:r>
        <w:r w:rsidR="00851031" w:rsidRPr="00F11FDA">
          <w:rPr>
            <w:rFonts w:ascii="Calibri" w:hAnsi="Calibri"/>
            <w:snapToGrid/>
            <w:sz w:val="22"/>
            <w:szCs w:val="22"/>
            <w:lang w:eastAsia="en-GB"/>
          </w:rPr>
          <w:tab/>
        </w:r>
        <w:r w:rsidR="00851031" w:rsidRPr="00F11FDA">
          <w:rPr>
            <w:rStyle w:val="Hyperlink"/>
          </w:rPr>
          <w:t>Eligibility of costs: costs that can be included</w:t>
        </w:r>
        <w:r w:rsidR="00851031" w:rsidRPr="00F11FDA">
          <w:rPr>
            <w:webHidden/>
          </w:rPr>
          <w:tab/>
        </w:r>
        <w:r w:rsidR="00851031" w:rsidRPr="00F11FDA">
          <w:rPr>
            <w:webHidden/>
          </w:rPr>
          <w:fldChar w:fldCharType="begin"/>
        </w:r>
        <w:r w:rsidR="00851031" w:rsidRPr="00F11FDA">
          <w:rPr>
            <w:webHidden/>
          </w:rPr>
          <w:instrText xml:space="preserve"> PAGEREF _Toc437893845 \h </w:instrText>
        </w:r>
        <w:r w:rsidR="00851031" w:rsidRPr="00F11FDA">
          <w:rPr>
            <w:webHidden/>
          </w:rPr>
        </w:r>
        <w:r w:rsidR="00851031" w:rsidRPr="00F11FDA">
          <w:rPr>
            <w:webHidden/>
          </w:rPr>
          <w:fldChar w:fldCharType="separate"/>
        </w:r>
        <w:r w:rsidR="00851031" w:rsidRPr="00F11FDA">
          <w:rPr>
            <w:webHidden/>
          </w:rPr>
          <w:t>10</w:t>
        </w:r>
        <w:r w:rsidR="00851031" w:rsidRPr="00F11FDA">
          <w:rPr>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46" w:history="1">
        <w:r w:rsidR="00851031" w:rsidRPr="00F11FDA">
          <w:rPr>
            <w:rStyle w:val="Hyperlink"/>
            <w:noProof/>
          </w:rPr>
          <w:t>2.2.</w:t>
        </w:r>
        <w:r w:rsidR="00851031" w:rsidRPr="00F11FDA">
          <w:rPr>
            <w:rFonts w:ascii="Calibri" w:hAnsi="Calibri"/>
            <w:noProof/>
            <w:snapToGrid/>
            <w:szCs w:val="22"/>
            <w:lang w:eastAsia="en-GB"/>
          </w:rPr>
          <w:tab/>
        </w:r>
        <w:r w:rsidR="00851031" w:rsidRPr="00F11FDA">
          <w:rPr>
            <w:rStyle w:val="Hyperlink"/>
            <w:noProof/>
          </w:rPr>
          <w:t>How to apply and the procedures to follow</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_Toc437893846 \h </w:instrText>
        </w:r>
        <w:r w:rsidR="00851031" w:rsidRPr="00F11FDA">
          <w:rPr>
            <w:noProof/>
            <w:webHidden/>
          </w:rPr>
        </w:r>
        <w:r w:rsidR="00851031" w:rsidRPr="00F11FDA">
          <w:rPr>
            <w:noProof/>
            <w:webHidden/>
          </w:rPr>
          <w:fldChar w:fldCharType="separate"/>
        </w:r>
        <w:r w:rsidR="00851031" w:rsidRPr="00F11FDA">
          <w:rPr>
            <w:noProof/>
            <w:webHidden/>
          </w:rPr>
          <w:t>14</w:t>
        </w:r>
        <w:r w:rsidR="00851031" w:rsidRPr="00F11FDA">
          <w:rPr>
            <w:noProof/>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7" w:history="1">
        <w:r w:rsidR="00851031" w:rsidRPr="00F11FDA">
          <w:rPr>
            <w:rStyle w:val="Hyperlink"/>
            <w:rFonts w:ascii="Times New Roman Bold" w:hAnsi="Times New Roman Bold"/>
          </w:rPr>
          <w:t>2.2.1.</w:t>
        </w:r>
        <w:r w:rsidR="00851031" w:rsidRPr="00F11FDA">
          <w:rPr>
            <w:rFonts w:ascii="Calibri" w:hAnsi="Calibri"/>
            <w:snapToGrid/>
            <w:sz w:val="22"/>
            <w:szCs w:val="22"/>
            <w:lang w:eastAsia="en-GB"/>
          </w:rPr>
          <w:tab/>
        </w:r>
        <w:r w:rsidR="00851031" w:rsidRPr="00F11FDA">
          <w:rPr>
            <w:rStyle w:val="Hyperlink"/>
          </w:rPr>
          <w:t>Concept note content</w:t>
        </w:r>
        <w:r w:rsidR="00851031" w:rsidRPr="00F11FDA">
          <w:rPr>
            <w:webHidden/>
          </w:rPr>
          <w:tab/>
        </w:r>
        <w:r w:rsidR="00851031" w:rsidRPr="00F11FDA">
          <w:rPr>
            <w:webHidden/>
          </w:rPr>
          <w:fldChar w:fldCharType="begin"/>
        </w:r>
        <w:r w:rsidR="00851031" w:rsidRPr="00F11FDA">
          <w:rPr>
            <w:webHidden/>
          </w:rPr>
          <w:instrText xml:space="preserve"> PAGEREF _Toc437893847 \h </w:instrText>
        </w:r>
        <w:r w:rsidR="00851031" w:rsidRPr="00F11FDA">
          <w:rPr>
            <w:webHidden/>
          </w:rPr>
        </w:r>
        <w:r w:rsidR="00851031" w:rsidRPr="00F11FDA">
          <w:rPr>
            <w:webHidden/>
          </w:rPr>
          <w:fldChar w:fldCharType="separate"/>
        </w:r>
        <w:r w:rsidR="00851031" w:rsidRPr="00F11FDA">
          <w:rPr>
            <w:webHidden/>
          </w:rPr>
          <w:t>14</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8" w:history="1">
        <w:r w:rsidR="00851031" w:rsidRPr="00F11FDA">
          <w:rPr>
            <w:rStyle w:val="Hyperlink"/>
            <w:rFonts w:ascii="Times New Roman Bold" w:hAnsi="Times New Roman Bold"/>
          </w:rPr>
          <w:t>2.2.2.</w:t>
        </w:r>
        <w:r w:rsidR="00851031" w:rsidRPr="00F11FDA">
          <w:rPr>
            <w:rFonts w:ascii="Calibri" w:hAnsi="Calibri"/>
            <w:snapToGrid/>
            <w:sz w:val="22"/>
            <w:szCs w:val="22"/>
            <w:lang w:eastAsia="en-GB"/>
          </w:rPr>
          <w:tab/>
        </w:r>
        <w:r w:rsidR="00851031" w:rsidRPr="00F11FDA">
          <w:rPr>
            <w:rStyle w:val="Hyperlink"/>
          </w:rPr>
          <w:t>Where and how to send concept notes</w:t>
        </w:r>
        <w:r w:rsidR="00851031" w:rsidRPr="00F11FDA">
          <w:rPr>
            <w:webHidden/>
          </w:rPr>
          <w:tab/>
        </w:r>
        <w:r w:rsidR="00851031" w:rsidRPr="00F11FDA">
          <w:rPr>
            <w:webHidden/>
          </w:rPr>
          <w:fldChar w:fldCharType="begin"/>
        </w:r>
        <w:r w:rsidR="00851031" w:rsidRPr="00F11FDA">
          <w:rPr>
            <w:webHidden/>
          </w:rPr>
          <w:instrText xml:space="preserve"> PAGEREF _Toc437893848 \h </w:instrText>
        </w:r>
        <w:r w:rsidR="00851031" w:rsidRPr="00F11FDA">
          <w:rPr>
            <w:webHidden/>
          </w:rPr>
        </w:r>
        <w:r w:rsidR="00851031" w:rsidRPr="00F11FDA">
          <w:rPr>
            <w:webHidden/>
          </w:rPr>
          <w:fldChar w:fldCharType="separate"/>
        </w:r>
        <w:r w:rsidR="00851031" w:rsidRPr="00F11FDA">
          <w:rPr>
            <w:webHidden/>
          </w:rPr>
          <w:t>15</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49" w:history="1">
        <w:r w:rsidR="00851031" w:rsidRPr="00F11FDA">
          <w:rPr>
            <w:rStyle w:val="Hyperlink"/>
            <w:rFonts w:ascii="Times New Roman Bold" w:hAnsi="Times New Roman Bold"/>
          </w:rPr>
          <w:t>2.2.3.</w:t>
        </w:r>
        <w:r w:rsidR="00851031" w:rsidRPr="00F11FDA">
          <w:rPr>
            <w:rFonts w:ascii="Calibri" w:hAnsi="Calibri"/>
            <w:snapToGrid/>
            <w:sz w:val="22"/>
            <w:szCs w:val="22"/>
            <w:lang w:eastAsia="en-GB"/>
          </w:rPr>
          <w:tab/>
        </w:r>
        <w:r w:rsidR="00851031" w:rsidRPr="00F11FDA">
          <w:rPr>
            <w:rStyle w:val="Hyperlink"/>
          </w:rPr>
          <w:t>Deadline for submission of concept notes</w:t>
        </w:r>
        <w:r w:rsidR="00851031" w:rsidRPr="00F11FDA">
          <w:rPr>
            <w:webHidden/>
          </w:rPr>
          <w:tab/>
        </w:r>
        <w:r w:rsidR="00851031" w:rsidRPr="00F11FDA">
          <w:rPr>
            <w:webHidden/>
          </w:rPr>
          <w:fldChar w:fldCharType="begin"/>
        </w:r>
        <w:r w:rsidR="00851031" w:rsidRPr="00F11FDA">
          <w:rPr>
            <w:webHidden/>
          </w:rPr>
          <w:instrText xml:space="preserve"> PAGEREF _Toc437893849 \h </w:instrText>
        </w:r>
        <w:r w:rsidR="00851031" w:rsidRPr="00F11FDA">
          <w:rPr>
            <w:webHidden/>
          </w:rPr>
        </w:r>
        <w:r w:rsidR="00851031" w:rsidRPr="00F11FDA">
          <w:rPr>
            <w:webHidden/>
          </w:rPr>
          <w:fldChar w:fldCharType="separate"/>
        </w:r>
        <w:r w:rsidR="00851031" w:rsidRPr="00F11FDA">
          <w:rPr>
            <w:webHidden/>
          </w:rPr>
          <w:t>15</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0" w:history="1">
        <w:r w:rsidR="00851031" w:rsidRPr="00F11FDA">
          <w:rPr>
            <w:rStyle w:val="Hyperlink"/>
            <w:rFonts w:ascii="Times New Roman Bold" w:hAnsi="Times New Roman Bold"/>
          </w:rPr>
          <w:t>2.2.4.</w:t>
        </w:r>
        <w:r w:rsidR="00851031" w:rsidRPr="00F11FDA">
          <w:rPr>
            <w:rFonts w:ascii="Calibri" w:hAnsi="Calibri"/>
            <w:snapToGrid/>
            <w:sz w:val="22"/>
            <w:szCs w:val="22"/>
            <w:lang w:eastAsia="en-GB"/>
          </w:rPr>
          <w:tab/>
        </w:r>
        <w:r w:rsidR="00851031" w:rsidRPr="00F11FDA">
          <w:rPr>
            <w:rStyle w:val="Hyperlink"/>
          </w:rPr>
          <w:t>Further information about concept notes</w:t>
        </w:r>
        <w:r w:rsidR="00851031" w:rsidRPr="00F11FDA">
          <w:rPr>
            <w:webHidden/>
          </w:rPr>
          <w:tab/>
        </w:r>
        <w:r w:rsidR="00851031" w:rsidRPr="00F11FDA">
          <w:rPr>
            <w:webHidden/>
          </w:rPr>
          <w:fldChar w:fldCharType="begin"/>
        </w:r>
        <w:r w:rsidR="00851031" w:rsidRPr="00F11FDA">
          <w:rPr>
            <w:webHidden/>
          </w:rPr>
          <w:instrText xml:space="preserve"> PAGEREF _Toc437893850 \h </w:instrText>
        </w:r>
        <w:r w:rsidR="00851031" w:rsidRPr="00F11FDA">
          <w:rPr>
            <w:webHidden/>
          </w:rPr>
        </w:r>
        <w:r w:rsidR="00851031" w:rsidRPr="00F11FDA">
          <w:rPr>
            <w:webHidden/>
          </w:rPr>
          <w:fldChar w:fldCharType="separate"/>
        </w:r>
        <w:r w:rsidR="00851031" w:rsidRPr="00F11FDA">
          <w:rPr>
            <w:webHidden/>
          </w:rPr>
          <w:t>15</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1" w:history="1">
        <w:r w:rsidR="00851031" w:rsidRPr="00F11FDA">
          <w:rPr>
            <w:rStyle w:val="Hyperlink"/>
            <w:rFonts w:ascii="Times New Roman Bold" w:hAnsi="Times New Roman Bold"/>
          </w:rPr>
          <w:t>2.2.5.</w:t>
        </w:r>
        <w:r w:rsidR="00851031" w:rsidRPr="00F11FDA">
          <w:rPr>
            <w:rFonts w:ascii="Calibri" w:hAnsi="Calibri"/>
            <w:snapToGrid/>
            <w:sz w:val="22"/>
            <w:szCs w:val="22"/>
            <w:lang w:eastAsia="en-GB"/>
          </w:rPr>
          <w:tab/>
        </w:r>
        <w:r w:rsidR="00851031" w:rsidRPr="00F11FDA">
          <w:rPr>
            <w:rStyle w:val="Hyperlink"/>
          </w:rPr>
          <w:t>Full applications</w:t>
        </w:r>
        <w:r w:rsidR="00851031" w:rsidRPr="00F11FDA">
          <w:rPr>
            <w:webHidden/>
          </w:rPr>
          <w:tab/>
        </w:r>
        <w:r w:rsidR="00851031" w:rsidRPr="00F11FDA">
          <w:rPr>
            <w:webHidden/>
          </w:rPr>
          <w:fldChar w:fldCharType="begin"/>
        </w:r>
        <w:r w:rsidR="00851031" w:rsidRPr="00F11FDA">
          <w:rPr>
            <w:webHidden/>
          </w:rPr>
          <w:instrText xml:space="preserve"> PAGEREF _Toc437893851 \h </w:instrText>
        </w:r>
        <w:r w:rsidR="00851031" w:rsidRPr="00F11FDA">
          <w:rPr>
            <w:webHidden/>
          </w:rPr>
        </w:r>
        <w:r w:rsidR="00851031" w:rsidRPr="00F11FDA">
          <w:rPr>
            <w:webHidden/>
          </w:rPr>
          <w:fldChar w:fldCharType="separate"/>
        </w:r>
        <w:r w:rsidR="00851031" w:rsidRPr="00F11FDA">
          <w:rPr>
            <w:webHidden/>
          </w:rPr>
          <w:t>16</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2" w:history="1">
        <w:r w:rsidR="00851031" w:rsidRPr="00F11FDA">
          <w:rPr>
            <w:rStyle w:val="Hyperlink"/>
            <w:rFonts w:ascii="Times New Roman Bold" w:hAnsi="Times New Roman Bold"/>
          </w:rPr>
          <w:t>2.2.6.</w:t>
        </w:r>
        <w:r w:rsidR="00851031" w:rsidRPr="00F11FDA">
          <w:rPr>
            <w:rFonts w:ascii="Calibri" w:hAnsi="Calibri"/>
            <w:snapToGrid/>
            <w:sz w:val="22"/>
            <w:szCs w:val="22"/>
            <w:lang w:eastAsia="en-GB"/>
          </w:rPr>
          <w:tab/>
        </w:r>
        <w:r w:rsidR="00851031" w:rsidRPr="00F11FDA">
          <w:rPr>
            <w:rStyle w:val="Hyperlink"/>
          </w:rPr>
          <w:t>Where and how to send full applications</w:t>
        </w:r>
        <w:r w:rsidR="00851031" w:rsidRPr="00F11FDA">
          <w:rPr>
            <w:webHidden/>
          </w:rPr>
          <w:tab/>
        </w:r>
        <w:r w:rsidR="00851031" w:rsidRPr="00F11FDA">
          <w:rPr>
            <w:webHidden/>
          </w:rPr>
          <w:fldChar w:fldCharType="begin"/>
        </w:r>
        <w:r w:rsidR="00851031" w:rsidRPr="00F11FDA">
          <w:rPr>
            <w:webHidden/>
          </w:rPr>
          <w:instrText xml:space="preserve"> PAGEREF _Toc437893852 \h </w:instrText>
        </w:r>
        <w:r w:rsidR="00851031" w:rsidRPr="00F11FDA">
          <w:rPr>
            <w:webHidden/>
          </w:rPr>
        </w:r>
        <w:r w:rsidR="00851031" w:rsidRPr="00F11FDA">
          <w:rPr>
            <w:webHidden/>
          </w:rPr>
          <w:fldChar w:fldCharType="separate"/>
        </w:r>
        <w:r w:rsidR="00851031" w:rsidRPr="00F11FDA">
          <w:rPr>
            <w:webHidden/>
          </w:rPr>
          <w:t>16</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3" w:history="1">
        <w:r w:rsidR="00851031" w:rsidRPr="00F11FDA">
          <w:rPr>
            <w:rStyle w:val="Hyperlink"/>
            <w:rFonts w:ascii="Times New Roman Bold" w:hAnsi="Times New Roman Bold"/>
          </w:rPr>
          <w:t>2.2.7.</w:t>
        </w:r>
        <w:r w:rsidR="00851031" w:rsidRPr="00F11FDA">
          <w:rPr>
            <w:rFonts w:ascii="Calibri" w:hAnsi="Calibri"/>
            <w:snapToGrid/>
            <w:sz w:val="22"/>
            <w:szCs w:val="22"/>
            <w:lang w:eastAsia="en-GB"/>
          </w:rPr>
          <w:tab/>
        </w:r>
        <w:r w:rsidR="00851031" w:rsidRPr="00F11FDA">
          <w:rPr>
            <w:rStyle w:val="Hyperlink"/>
          </w:rPr>
          <w:t>Deadline for submission of full applications</w:t>
        </w:r>
        <w:r w:rsidR="00851031" w:rsidRPr="00F11FDA">
          <w:rPr>
            <w:webHidden/>
          </w:rPr>
          <w:tab/>
        </w:r>
        <w:r w:rsidR="00851031" w:rsidRPr="00F11FDA">
          <w:rPr>
            <w:webHidden/>
          </w:rPr>
          <w:fldChar w:fldCharType="begin"/>
        </w:r>
        <w:r w:rsidR="00851031" w:rsidRPr="00F11FDA">
          <w:rPr>
            <w:webHidden/>
          </w:rPr>
          <w:instrText xml:space="preserve"> PAGEREF _Toc437893853 \h </w:instrText>
        </w:r>
        <w:r w:rsidR="00851031" w:rsidRPr="00F11FDA">
          <w:rPr>
            <w:webHidden/>
          </w:rPr>
        </w:r>
        <w:r w:rsidR="00851031" w:rsidRPr="00F11FDA">
          <w:rPr>
            <w:webHidden/>
          </w:rPr>
          <w:fldChar w:fldCharType="separate"/>
        </w:r>
        <w:r w:rsidR="00851031" w:rsidRPr="00F11FDA">
          <w:rPr>
            <w:webHidden/>
          </w:rPr>
          <w:t>17</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4" w:history="1">
        <w:r w:rsidR="00851031" w:rsidRPr="00F11FDA">
          <w:rPr>
            <w:rStyle w:val="Hyperlink"/>
            <w:rFonts w:ascii="Times New Roman Bold" w:hAnsi="Times New Roman Bold"/>
          </w:rPr>
          <w:t>2.2.8.</w:t>
        </w:r>
        <w:r w:rsidR="00851031" w:rsidRPr="00F11FDA">
          <w:rPr>
            <w:rFonts w:ascii="Calibri" w:hAnsi="Calibri"/>
            <w:snapToGrid/>
            <w:sz w:val="22"/>
            <w:szCs w:val="22"/>
            <w:lang w:eastAsia="en-GB"/>
          </w:rPr>
          <w:tab/>
        </w:r>
        <w:r w:rsidR="00851031" w:rsidRPr="00F11FDA">
          <w:rPr>
            <w:rStyle w:val="Hyperlink"/>
          </w:rPr>
          <w:t>Further information about full applications</w:t>
        </w:r>
        <w:r w:rsidR="00851031" w:rsidRPr="00F11FDA">
          <w:rPr>
            <w:webHidden/>
          </w:rPr>
          <w:tab/>
        </w:r>
        <w:r w:rsidR="00851031" w:rsidRPr="00F11FDA">
          <w:rPr>
            <w:webHidden/>
          </w:rPr>
          <w:fldChar w:fldCharType="begin"/>
        </w:r>
        <w:r w:rsidR="00851031" w:rsidRPr="00F11FDA">
          <w:rPr>
            <w:webHidden/>
          </w:rPr>
          <w:instrText xml:space="preserve"> PAGEREF _Toc437893854 \h </w:instrText>
        </w:r>
        <w:r w:rsidR="00851031" w:rsidRPr="00F11FDA">
          <w:rPr>
            <w:webHidden/>
          </w:rPr>
        </w:r>
        <w:r w:rsidR="00851031" w:rsidRPr="00F11FDA">
          <w:rPr>
            <w:webHidden/>
          </w:rPr>
          <w:fldChar w:fldCharType="separate"/>
        </w:r>
        <w:r w:rsidR="00851031" w:rsidRPr="00F11FDA">
          <w:rPr>
            <w:webHidden/>
          </w:rPr>
          <w:t>17</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5" w:history="1">
        <w:r w:rsidR="00851031" w:rsidRPr="00F11FDA">
          <w:rPr>
            <w:rStyle w:val="Hyperlink"/>
            <w:rFonts w:ascii="Times New Roman Bold" w:hAnsi="Times New Roman Bold"/>
          </w:rPr>
          <w:t>2.2.1.</w:t>
        </w:r>
        <w:r w:rsidR="00851031" w:rsidRPr="00F11FDA">
          <w:rPr>
            <w:rFonts w:ascii="Calibri" w:hAnsi="Calibri"/>
            <w:snapToGrid/>
            <w:sz w:val="22"/>
            <w:szCs w:val="22"/>
            <w:lang w:eastAsia="en-GB"/>
          </w:rPr>
          <w:tab/>
        </w:r>
        <w:r w:rsidR="00851031" w:rsidRPr="00F11FDA">
          <w:rPr>
            <w:rStyle w:val="Hyperlink"/>
          </w:rPr>
          <w:t>Application forms</w:t>
        </w:r>
        <w:r w:rsidR="00851031" w:rsidRPr="00F11FDA">
          <w:rPr>
            <w:webHidden/>
          </w:rPr>
          <w:tab/>
        </w:r>
        <w:r w:rsidR="00851031" w:rsidRPr="00F11FDA">
          <w:rPr>
            <w:webHidden/>
          </w:rPr>
          <w:fldChar w:fldCharType="begin"/>
        </w:r>
        <w:r w:rsidR="00851031" w:rsidRPr="00F11FDA">
          <w:rPr>
            <w:webHidden/>
          </w:rPr>
          <w:instrText xml:space="preserve"> PAGEREF _Toc437893855 \h </w:instrText>
        </w:r>
        <w:r w:rsidR="00851031" w:rsidRPr="00F11FDA">
          <w:rPr>
            <w:webHidden/>
          </w:rPr>
        </w:r>
        <w:r w:rsidR="00851031" w:rsidRPr="00F11FDA">
          <w:rPr>
            <w:webHidden/>
          </w:rPr>
          <w:fldChar w:fldCharType="separate"/>
        </w:r>
        <w:r w:rsidR="00851031" w:rsidRPr="00F11FDA">
          <w:rPr>
            <w:webHidden/>
          </w:rPr>
          <w:t>18</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6" w:history="1">
        <w:r w:rsidR="00851031" w:rsidRPr="00F11FDA">
          <w:rPr>
            <w:rStyle w:val="Hyperlink"/>
            <w:rFonts w:ascii="Times New Roman Bold" w:hAnsi="Times New Roman Bold"/>
          </w:rPr>
          <w:t>2.2.2.</w:t>
        </w:r>
        <w:r w:rsidR="00851031" w:rsidRPr="00F11FDA">
          <w:rPr>
            <w:rFonts w:ascii="Calibri" w:hAnsi="Calibri"/>
            <w:snapToGrid/>
            <w:sz w:val="22"/>
            <w:szCs w:val="22"/>
            <w:lang w:eastAsia="en-GB"/>
          </w:rPr>
          <w:tab/>
        </w:r>
        <w:r w:rsidR="00851031" w:rsidRPr="00F11FDA">
          <w:rPr>
            <w:rStyle w:val="Hyperlink"/>
          </w:rPr>
          <w:t>Where and how to send applications</w:t>
        </w:r>
        <w:r w:rsidR="00851031" w:rsidRPr="00F11FDA">
          <w:rPr>
            <w:webHidden/>
          </w:rPr>
          <w:tab/>
        </w:r>
        <w:r w:rsidR="00851031" w:rsidRPr="00F11FDA">
          <w:rPr>
            <w:webHidden/>
          </w:rPr>
          <w:fldChar w:fldCharType="begin"/>
        </w:r>
        <w:r w:rsidR="00851031" w:rsidRPr="00F11FDA">
          <w:rPr>
            <w:webHidden/>
          </w:rPr>
          <w:instrText xml:space="preserve"> PAGEREF _Toc437893856 \h </w:instrText>
        </w:r>
        <w:r w:rsidR="00851031" w:rsidRPr="00F11FDA">
          <w:rPr>
            <w:webHidden/>
          </w:rPr>
        </w:r>
        <w:r w:rsidR="00851031" w:rsidRPr="00F11FDA">
          <w:rPr>
            <w:webHidden/>
          </w:rPr>
          <w:fldChar w:fldCharType="separate"/>
        </w:r>
        <w:r w:rsidR="00851031" w:rsidRPr="00F11FDA">
          <w:rPr>
            <w:webHidden/>
          </w:rPr>
          <w:t>18</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7" w:history="1">
        <w:r w:rsidR="00851031" w:rsidRPr="00F11FDA">
          <w:rPr>
            <w:rStyle w:val="Hyperlink"/>
            <w:rFonts w:ascii="Times New Roman Bold" w:hAnsi="Times New Roman Bold"/>
          </w:rPr>
          <w:t>2.2.3.</w:t>
        </w:r>
        <w:r w:rsidR="00851031" w:rsidRPr="00F11FDA">
          <w:rPr>
            <w:rFonts w:ascii="Calibri" w:hAnsi="Calibri"/>
            <w:snapToGrid/>
            <w:sz w:val="22"/>
            <w:szCs w:val="22"/>
            <w:lang w:eastAsia="en-GB"/>
          </w:rPr>
          <w:tab/>
        </w:r>
        <w:r w:rsidR="00851031" w:rsidRPr="00F11FDA">
          <w:rPr>
            <w:rStyle w:val="Hyperlink"/>
          </w:rPr>
          <w:t>Deadline for submission of applications</w:t>
        </w:r>
        <w:r w:rsidR="00851031" w:rsidRPr="00F11FDA">
          <w:rPr>
            <w:webHidden/>
          </w:rPr>
          <w:tab/>
        </w:r>
        <w:r w:rsidR="00851031" w:rsidRPr="00F11FDA">
          <w:rPr>
            <w:webHidden/>
          </w:rPr>
          <w:fldChar w:fldCharType="begin"/>
        </w:r>
        <w:r w:rsidR="00851031" w:rsidRPr="00F11FDA">
          <w:rPr>
            <w:webHidden/>
          </w:rPr>
          <w:instrText xml:space="preserve"> PAGEREF _Toc437893857 \h </w:instrText>
        </w:r>
        <w:r w:rsidR="00851031" w:rsidRPr="00F11FDA">
          <w:rPr>
            <w:webHidden/>
          </w:rPr>
        </w:r>
        <w:r w:rsidR="00851031" w:rsidRPr="00F11FDA">
          <w:rPr>
            <w:webHidden/>
          </w:rPr>
          <w:fldChar w:fldCharType="separate"/>
        </w:r>
        <w:r w:rsidR="00851031" w:rsidRPr="00F11FDA">
          <w:rPr>
            <w:webHidden/>
          </w:rPr>
          <w:t>19</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58" w:history="1">
        <w:r w:rsidR="00851031" w:rsidRPr="00F11FDA">
          <w:rPr>
            <w:rStyle w:val="Hyperlink"/>
            <w:rFonts w:ascii="Times New Roman Bold" w:hAnsi="Times New Roman Bold"/>
          </w:rPr>
          <w:t>2.2.4.</w:t>
        </w:r>
        <w:r w:rsidR="00851031" w:rsidRPr="00F11FDA">
          <w:rPr>
            <w:rFonts w:ascii="Calibri" w:hAnsi="Calibri"/>
            <w:snapToGrid/>
            <w:sz w:val="22"/>
            <w:szCs w:val="22"/>
            <w:lang w:eastAsia="en-GB"/>
          </w:rPr>
          <w:tab/>
        </w:r>
        <w:r w:rsidR="00851031" w:rsidRPr="00F11FDA">
          <w:rPr>
            <w:rStyle w:val="Hyperlink"/>
          </w:rPr>
          <w:t>Further information about applications</w:t>
        </w:r>
        <w:r w:rsidR="00851031" w:rsidRPr="00F11FDA">
          <w:rPr>
            <w:webHidden/>
          </w:rPr>
          <w:tab/>
        </w:r>
        <w:r w:rsidR="00851031" w:rsidRPr="00F11FDA">
          <w:rPr>
            <w:webHidden/>
          </w:rPr>
          <w:fldChar w:fldCharType="begin"/>
        </w:r>
        <w:r w:rsidR="00851031" w:rsidRPr="00F11FDA">
          <w:rPr>
            <w:webHidden/>
          </w:rPr>
          <w:instrText xml:space="preserve"> PAGEREF _Toc437893858 \h </w:instrText>
        </w:r>
        <w:r w:rsidR="00851031" w:rsidRPr="00F11FDA">
          <w:rPr>
            <w:webHidden/>
          </w:rPr>
        </w:r>
        <w:r w:rsidR="00851031" w:rsidRPr="00F11FDA">
          <w:rPr>
            <w:webHidden/>
          </w:rPr>
          <w:fldChar w:fldCharType="separate"/>
        </w:r>
        <w:r w:rsidR="00851031" w:rsidRPr="00F11FDA">
          <w:rPr>
            <w:webHidden/>
          </w:rPr>
          <w:t>19</w:t>
        </w:r>
        <w:r w:rsidR="00851031" w:rsidRPr="00F11FDA">
          <w:rPr>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59" w:history="1">
        <w:r w:rsidR="00851031" w:rsidRPr="00F11FDA">
          <w:rPr>
            <w:rStyle w:val="Hyperlink"/>
            <w:noProof/>
          </w:rPr>
          <w:t>2.3.</w:t>
        </w:r>
        <w:r w:rsidR="00851031" w:rsidRPr="00F11FDA">
          <w:rPr>
            <w:rFonts w:ascii="Calibri" w:hAnsi="Calibri"/>
            <w:noProof/>
            <w:snapToGrid/>
            <w:szCs w:val="22"/>
            <w:lang w:eastAsia="en-GB"/>
          </w:rPr>
          <w:tab/>
        </w:r>
        <w:r w:rsidR="00851031" w:rsidRPr="00F11FDA">
          <w:rPr>
            <w:rStyle w:val="Hyperlink"/>
            <w:noProof/>
          </w:rPr>
          <w:t>Evaluation and selection of applications</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_Toc437893859 \h </w:instrText>
        </w:r>
        <w:r w:rsidR="00851031" w:rsidRPr="00F11FDA">
          <w:rPr>
            <w:noProof/>
            <w:webHidden/>
          </w:rPr>
        </w:r>
        <w:r w:rsidR="00851031" w:rsidRPr="00F11FDA">
          <w:rPr>
            <w:noProof/>
            <w:webHidden/>
          </w:rPr>
          <w:fldChar w:fldCharType="separate"/>
        </w:r>
        <w:r w:rsidR="00851031" w:rsidRPr="00F11FDA">
          <w:rPr>
            <w:noProof/>
            <w:webHidden/>
          </w:rPr>
          <w:t>19</w:t>
        </w:r>
        <w:r w:rsidR="00851031" w:rsidRPr="00F11FDA">
          <w:rPr>
            <w:noProof/>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60" w:history="1">
        <w:r w:rsidR="00851031" w:rsidRPr="00F11FDA">
          <w:rPr>
            <w:rStyle w:val="Hyperlink"/>
            <w:noProof/>
          </w:rPr>
          <w:t>2.4.</w:t>
        </w:r>
        <w:r w:rsidR="00851031" w:rsidRPr="00F11FDA">
          <w:rPr>
            <w:rFonts w:ascii="Calibri" w:hAnsi="Calibri"/>
            <w:noProof/>
            <w:snapToGrid/>
            <w:szCs w:val="22"/>
            <w:lang w:eastAsia="en-GB"/>
          </w:rPr>
          <w:tab/>
        </w:r>
        <w:r w:rsidR="00851031" w:rsidRPr="00F11FDA">
          <w:rPr>
            <w:rStyle w:val="Hyperlink"/>
            <w:noProof/>
          </w:rPr>
          <w:t>Submission of supporting documents for provisionally selected applications</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_Toc437893860 \h </w:instrText>
        </w:r>
        <w:r w:rsidR="00851031" w:rsidRPr="00F11FDA">
          <w:rPr>
            <w:noProof/>
            <w:webHidden/>
          </w:rPr>
        </w:r>
        <w:r w:rsidR="00851031" w:rsidRPr="00F11FDA">
          <w:rPr>
            <w:noProof/>
            <w:webHidden/>
          </w:rPr>
          <w:fldChar w:fldCharType="separate"/>
        </w:r>
        <w:r w:rsidR="00851031" w:rsidRPr="00F11FDA">
          <w:rPr>
            <w:noProof/>
            <w:webHidden/>
          </w:rPr>
          <w:t>26</w:t>
        </w:r>
        <w:r w:rsidR="00851031" w:rsidRPr="00F11FDA">
          <w:rPr>
            <w:noProof/>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61" w:history="1">
        <w:r w:rsidR="00851031" w:rsidRPr="00F11FDA">
          <w:rPr>
            <w:rStyle w:val="Hyperlink"/>
            <w:noProof/>
          </w:rPr>
          <w:t>2.5.</w:t>
        </w:r>
        <w:r w:rsidR="00851031" w:rsidRPr="00F11FDA">
          <w:rPr>
            <w:rFonts w:ascii="Calibri" w:hAnsi="Calibri"/>
            <w:noProof/>
            <w:snapToGrid/>
            <w:szCs w:val="22"/>
            <w:lang w:eastAsia="en-GB"/>
          </w:rPr>
          <w:tab/>
        </w:r>
        <w:r w:rsidR="00851031" w:rsidRPr="00F11FDA">
          <w:rPr>
            <w:rStyle w:val="Hyperlink"/>
            <w:noProof/>
          </w:rPr>
          <w:t>Notification of the Contracting Authority’s decision</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_Toc437893861 \h </w:instrText>
        </w:r>
        <w:r w:rsidR="00851031" w:rsidRPr="00F11FDA">
          <w:rPr>
            <w:noProof/>
            <w:webHidden/>
          </w:rPr>
        </w:r>
        <w:r w:rsidR="00851031" w:rsidRPr="00F11FDA">
          <w:rPr>
            <w:noProof/>
            <w:webHidden/>
          </w:rPr>
          <w:fldChar w:fldCharType="separate"/>
        </w:r>
        <w:r w:rsidR="00851031" w:rsidRPr="00F11FDA">
          <w:rPr>
            <w:noProof/>
            <w:webHidden/>
          </w:rPr>
          <w:t>27</w:t>
        </w:r>
        <w:r w:rsidR="00851031" w:rsidRPr="00F11FDA">
          <w:rPr>
            <w:noProof/>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62" w:history="1">
        <w:r w:rsidR="00851031" w:rsidRPr="00F11FDA">
          <w:rPr>
            <w:rStyle w:val="Hyperlink"/>
            <w:rFonts w:ascii="Times New Roman Bold" w:hAnsi="Times New Roman Bold"/>
          </w:rPr>
          <w:t>2.5.1.</w:t>
        </w:r>
        <w:r w:rsidR="00851031" w:rsidRPr="00F11FDA">
          <w:rPr>
            <w:rFonts w:ascii="Calibri" w:hAnsi="Calibri"/>
            <w:snapToGrid/>
            <w:sz w:val="22"/>
            <w:szCs w:val="22"/>
            <w:lang w:eastAsia="en-GB"/>
          </w:rPr>
          <w:tab/>
        </w:r>
        <w:r w:rsidR="00851031" w:rsidRPr="00F11FDA">
          <w:rPr>
            <w:rStyle w:val="Hyperlink"/>
          </w:rPr>
          <w:t>Content of the decision</w:t>
        </w:r>
        <w:r w:rsidR="00851031" w:rsidRPr="00F11FDA">
          <w:rPr>
            <w:webHidden/>
          </w:rPr>
          <w:tab/>
        </w:r>
        <w:r w:rsidR="00851031" w:rsidRPr="00F11FDA">
          <w:rPr>
            <w:webHidden/>
          </w:rPr>
          <w:fldChar w:fldCharType="begin"/>
        </w:r>
        <w:r w:rsidR="00851031" w:rsidRPr="00F11FDA">
          <w:rPr>
            <w:webHidden/>
          </w:rPr>
          <w:instrText xml:space="preserve"> PAGEREF _Toc437893862 \h </w:instrText>
        </w:r>
        <w:r w:rsidR="00851031" w:rsidRPr="00F11FDA">
          <w:rPr>
            <w:webHidden/>
          </w:rPr>
        </w:r>
        <w:r w:rsidR="00851031" w:rsidRPr="00F11FDA">
          <w:rPr>
            <w:webHidden/>
          </w:rPr>
          <w:fldChar w:fldCharType="separate"/>
        </w:r>
        <w:r w:rsidR="00851031" w:rsidRPr="00F11FDA">
          <w:rPr>
            <w:webHidden/>
          </w:rPr>
          <w:t>27</w:t>
        </w:r>
        <w:r w:rsidR="00851031" w:rsidRPr="00F11FDA">
          <w:rPr>
            <w:webHidden/>
          </w:rPr>
          <w:fldChar w:fldCharType="end"/>
        </w:r>
      </w:hyperlink>
    </w:p>
    <w:p w:rsidR="00851031" w:rsidRPr="00F11FDA" w:rsidRDefault="00FE2C86" w:rsidP="00851031">
      <w:pPr>
        <w:pStyle w:val="TOC3"/>
        <w:rPr>
          <w:rFonts w:ascii="Calibri" w:hAnsi="Calibri"/>
          <w:snapToGrid/>
          <w:sz w:val="22"/>
          <w:szCs w:val="22"/>
          <w:lang w:eastAsia="en-GB"/>
        </w:rPr>
      </w:pPr>
      <w:hyperlink w:anchor="_Toc437893863" w:history="1">
        <w:r w:rsidR="00851031" w:rsidRPr="00F11FDA">
          <w:rPr>
            <w:rStyle w:val="Hyperlink"/>
            <w:rFonts w:ascii="Times New Roman Bold" w:hAnsi="Times New Roman Bold"/>
          </w:rPr>
          <w:t>2.5.2.</w:t>
        </w:r>
        <w:r w:rsidR="00851031" w:rsidRPr="00F11FDA">
          <w:rPr>
            <w:rFonts w:ascii="Calibri" w:hAnsi="Calibri"/>
            <w:snapToGrid/>
            <w:sz w:val="22"/>
            <w:szCs w:val="22"/>
            <w:lang w:eastAsia="en-GB"/>
          </w:rPr>
          <w:tab/>
        </w:r>
        <w:r w:rsidR="00851031" w:rsidRPr="00F11FDA">
          <w:rPr>
            <w:rStyle w:val="Hyperlink"/>
          </w:rPr>
          <w:t>Indicative timetable</w:t>
        </w:r>
        <w:r w:rsidR="00851031" w:rsidRPr="00F11FDA">
          <w:rPr>
            <w:webHidden/>
          </w:rPr>
          <w:tab/>
        </w:r>
        <w:r w:rsidR="00851031" w:rsidRPr="00F11FDA">
          <w:rPr>
            <w:webHidden/>
          </w:rPr>
          <w:fldChar w:fldCharType="begin"/>
        </w:r>
        <w:r w:rsidR="00851031" w:rsidRPr="00F11FDA">
          <w:rPr>
            <w:webHidden/>
          </w:rPr>
          <w:instrText xml:space="preserve"> PAGEREF _Toc437893863 \h </w:instrText>
        </w:r>
        <w:r w:rsidR="00851031" w:rsidRPr="00F11FDA">
          <w:rPr>
            <w:webHidden/>
          </w:rPr>
        </w:r>
        <w:r w:rsidR="00851031" w:rsidRPr="00F11FDA">
          <w:rPr>
            <w:webHidden/>
          </w:rPr>
          <w:fldChar w:fldCharType="separate"/>
        </w:r>
        <w:r w:rsidR="00851031" w:rsidRPr="00F11FDA">
          <w:rPr>
            <w:webHidden/>
          </w:rPr>
          <w:t>27</w:t>
        </w:r>
        <w:r w:rsidR="00851031" w:rsidRPr="00F11FDA">
          <w:rPr>
            <w:webHidden/>
          </w:rPr>
          <w:fldChar w:fldCharType="end"/>
        </w:r>
      </w:hyperlink>
    </w:p>
    <w:p w:rsidR="00851031" w:rsidRPr="00F11FDA" w:rsidRDefault="00FE2C86" w:rsidP="00851031">
      <w:pPr>
        <w:pStyle w:val="TOC2"/>
        <w:rPr>
          <w:rFonts w:ascii="Calibri" w:hAnsi="Calibri"/>
          <w:noProof/>
          <w:snapToGrid/>
          <w:szCs w:val="22"/>
          <w:lang w:eastAsia="en-GB"/>
        </w:rPr>
      </w:pPr>
      <w:hyperlink w:anchor="_Toc437893864" w:history="1">
        <w:r w:rsidR="00851031" w:rsidRPr="00F11FDA">
          <w:rPr>
            <w:rStyle w:val="Hyperlink"/>
            <w:noProof/>
          </w:rPr>
          <w:t>2.6.</w:t>
        </w:r>
        <w:r w:rsidR="00851031" w:rsidRPr="00F11FDA">
          <w:rPr>
            <w:rFonts w:ascii="Calibri" w:hAnsi="Calibri"/>
            <w:noProof/>
            <w:snapToGrid/>
            <w:szCs w:val="22"/>
            <w:lang w:eastAsia="en-GB"/>
          </w:rPr>
          <w:tab/>
        </w:r>
        <w:r w:rsidR="00851031" w:rsidRPr="00F11FDA">
          <w:rPr>
            <w:rStyle w:val="Hyperlink"/>
            <w:noProof/>
          </w:rPr>
          <w:t>Conditions for implementation after the Contracting Authority’s decision to award a grant</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_Toc437893864 \h </w:instrText>
        </w:r>
        <w:r w:rsidR="00851031" w:rsidRPr="00F11FDA">
          <w:rPr>
            <w:noProof/>
            <w:webHidden/>
          </w:rPr>
        </w:r>
        <w:r w:rsidR="00851031" w:rsidRPr="00F11FDA">
          <w:rPr>
            <w:noProof/>
            <w:webHidden/>
          </w:rPr>
          <w:fldChar w:fldCharType="separate"/>
        </w:r>
        <w:r w:rsidR="00851031" w:rsidRPr="00F11FDA">
          <w:rPr>
            <w:noProof/>
            <w:webHidden/>
          </w:rPr>
          <w:t>28</w:t>
        </w:r>
        <w:r w:rsidR="00851031" w:rsidRPr="00F11FDA">
          <w:rPr>
            <w:noProof/>
            <w:webHidden/>
          </w:rPr>
          <w:fldChar w:fldCharType="end"/>
        </w:r>
      </w:hyperlink>
    </w:p>
    <w:p w:rsidR="00851031" w:rsidRPr="00F11FDA" w:rsidRDefault="00FE2C86" w:rsidP="00851031">
      <w:pPr>
        <w:pStyle w:val="TOC1"/>
        <w:rPr>
          <w:rFonts w:ascii="Calibri" w:hAnsi="Calibri"/>
          <w:b w:val="0"/>
          <w:caps w:val="0"/>
          <w:noProof/>
          <w:snapToGrid/>
          <w:szCs w:val="22"/>
          <w:lang w:eastAsia="en-GB"/>
        </w:rPr>
      </w:pPr>
      <w:hyperlink w:anchor="_Toc437893865" w:history="1">
        <w:r w:rsidR="00851031" w:rsidRPr="00F11FDA">
          <w:rPr>
            <w:rStyle w:val="Hyperlink"/>
            <w:noProof/>
          </w:rPr>
          <w:t>3.</w:t>
        </w:r>
        <w:r w:rsidR="00851031" w:rsidRPr="00F11FDA">
          <w:rPr>
            <w:rFonts w:ascii="Calibri" w:hAnsi="Calibri"/>
            <w:b w:val="0"/>
            <w:caps w:val="0"/>
            <w:noProof/>
            <w:snapToGrid/>
            <w:szCs w:val="22"/>
            <w:lang w:eastAsia="en-GB"/>
          </w:rPr>
          <w:tab/>
        </w:r>
        <w:r w:rsidR="00851031" w:rsidRPr="00F11FDA">
          <w:rPr>
            <w:rStyle w:val="Hyperlink"/>
            <w:rFonts w:ascii="Times New Roman" w:hAnsi="Times New Roman"/>
            <w:noProof/>
          </w:rPr>
          <w:t>LIST OF annexes</w:t>
        </w:r>
        <w:r w:rsidR="00851031" w:rsidRPr="00F11FDA">
          <w:rPr>
            <w:noProof/>
            <w:webHidden/>
          </w:rPr>
          <w:tab/>
        </w:r>
        <w:r w:rsidR="00851031" w:rsidRPr="00F11FDA">
          <w:rPr>
            <w:noProof/>
            <w:webHidden/>
          </w:rPr>
          <w:fldChar w:fldCharType="begin"/>
        </w:r>
        <w:r w:rsidR="00851031" w:rsidRPr="00F11FDA">
          <w:rPr>
            <w:noProof/>
            <w:webHidden/>
          </w:rPr>
          <w:instrText xml:space="preserve"> PAGEREF _Toc437893865 \h </w:instrText>
        </w:r>
        <w:r w:rsidR="00851031" w:rsidRPr="00F11FDA">
          <w:rPr>
            <w:noProof/>
            <w:webHidden/>
          </w:rPr>
        </w:r>
        <w:r w:rsidR="00851031" w:rsidRPr="00F11FDA">
          <w:rPr>
            <w:noProof/>
            <w:webHidden/>
          </w:rPr>
          <w:fldChar w:fldCharType="separate"/>
        </w:r>
        <w:r w:rsidR="00851031" w:rsidRPr="00F11FDA">
          <w:rPr>
            <w:noProof/>
            <w:webHidden/>
          </w:rPr>
          <w:t>29</w:t>
        </w:r>
        <w:r w:rsidR="00851031" w:rsidRPr="00F11FDA">
          <w:rPr>
            <w:noProof/>
            <w:webHidden/>
          </w:rPr>
          <w:fldChar w:fldCharType="end"/>
        </w:r>
      </w:hyperlink>
    </w:p>
    <w:p w:rsidR="00851031" w:rsidRPr="00F11FDA" w:rsidRDefault="00851031" w:rsidP="00851031">
      <w:pPr>
        <w:rPr>
          <w:sz w:val="28"/>
          <w:szCs w:val="28"/>
        </w:rPr>
        <w:sectPr w:rsidR="00851031" w:rsidRPr="00F11FDA" w:rsidSect="002D4ACD">
          <w:footerReference w:type="first" r:id="rId11"/>
          <w:pgSz w:w="11906" w:h="16838" w:code="9"/>
          <w:pgMar w:top="1021" w:right="1134" w:bottom="1021" w:left="1134" w:header="567" w:footer="545" w:gutter="0"/>
          <w:cols w:space="720"/>
          <w:titlePg/>
        </w:sectPr>
      </w:pPr>
      <w:r w:rsidRPr="00F11FDA">
        <w:rPr>
          <w:sz w:val="28"/>
          <w:szCs w:val="28"/>
        </w:rPr>
        <w:fldChar w:fldCharType="end"/>
      </w:r>
    </w:p>
    <w:p w:rsidR="00851031" w:rsidRPr="00F11FDA" w:rsidRDefault="00851031" w:rsidP="00851031">
      <w:pPr>
        <w:pStyle w:val="Guidelines1"/>
        <w:numPr>
          <w:ilvl w:val="0"/>
          <w:numId w:val="0"/>
        </w:numPr>
      </w:pPr>
      <w:bookmarkStart w:id="0" w:name="_Toc437893836"/>
      <w:r>
        <w:t xml:space="preserve">1. </w:t>
      </w:r>
      <w:r w:rsidRPr="00F11FDA">
        <w:t>Intra-ACP GCCA+ programme in the Southern African Development Community region</w:t>
      </w:r>
    </w:p>
    <w:p w:rsidR="00851031" w:rsidRPr="00F11FDA" w:rsidRDefault="00851031" w:rsidP="00851031">
      <w:pPr>
        <w:pStyle w:val="Guidelines2"/>
      </w:pPr>
      <w:r w:rsidRPr="00F11FDA">
        <w:t>Background</w:t>
      </w:r>
      <w:bookmarkEnd w:id="0"/>
    </w:p>
    <w:p w:rsidR="00851031" w:rsidRPr="00F11FDA" w:rsidRDefault="00851031" w:rsidP="00851031">
      <w:r w:rsidRPr="00F11FDA">
        <w:t>The Intra-ACP Global Climate Change Alliance Plus (GCCA+) Programme will be implemented within the framework of an existing Financing Agreement between the Secretariat of the ACP Group of States (“ACP Secretariat”) and the European Union (EU). The GCCA+ programme aims to build regional level capacity in order to assist Member States in developing their critical capacity with the overall objective of supporting the sustainable development of the ACP Regions and countries. SADC then, recognises that unless these opportunities are identified and exploited, the region runs the risk of aggravated impacts of climate change leading to reduced economic growth, severe food insecurity, increased unemployment and poverty, including other social stresses especially amongst the most vulnerable communities, in particular those affected by poverty, women and children. Given the changes in climate, the SADC Region needs to strategically consider response, and address the challenge of adaptation. Adaptation must be in response to the current and projected climatic conditions such as, increased frequency in climate related extreme events such as– tropical cyclone, floods and drought. This will be implemented through the pilot adaptation projects in some countries. The priority here is to implement climate change programmes in such a way as to achieve sustainable development, in particular to alleviate poverty and attain Sustainable Development Goals, with emphasis on the most vulnerable groups or locations.</w:t>
      </w:r>
    </w:p>
    <w:p w:rsidR="00851031" w:rsidRPr="00F11FDA" w:rsidRDefault="00851031" w:rsidP="00851031">
      <w:r w:rsidRPr="00F11FDA">
        <w:t>The SADC Secretariat has a key role to play in increasing the capabilities of SADC Member States (MS) to mitigate and adapt to climate change impacts, in support of the achievement of the Regional Indicative Strategic Development Plan (RISDP), Africa Agenda 2063 and Sustainable Development Goals (SDGs); and to have their voice better heard in the international climate change negotiations.</w:t>
      </w:r>
    </w:p>
    <w:p w:rsidR="00851031" w:rsidRPr="00F11FDA" w:rsidRDefault="00851031" w:rsidP="00851031">
      <w:pPr>
        <w:pStyle w:val="Guidelines2"/>
      </w:pPr>
      <w:bookmarkStart w:id="1" w:name="_Toc437893837"/>
      <w:r w:rsidRPr="00F11FDA">
        <w:t>Objectives of the programme and priority issues</w:t>
      </w:r>
      <w:bookmarkEnd w:id="1"/>
      <w:r w:rsidRPr="00F11FDA">
        <w:t xml:space="preserve"> </w:t>
      </w:r>
    </w:p>
    <w:p w:rsidR="00851031" w:rsidRPr="00F11FDA" w:rsidRDefault="00851031" w:rsidP="00851031">
      <w:r w:rsidRPr="00F11FDA">
        <w:t xml:space="preserve">The </w:t>
      </w:r>
      <w:r w:rsidRPr="00F11FDA">
        <w:rPr>
          <w:b/>
        </w:rPr>
        <w:t>global objective</w:t>
      </w:r>
      <w:r w:rsidRPr="00F11FDA">
        <w:t xml:space="preserve"> of this call for proposals is to increase the capabilities of SADC Member States (MS) to mitigate and adapt to the effects of climate change, in support of the achievement of the Regional Indicative Strategic Development Plan (RISDP), Africa Agenda 2063 and Sustainable Development Goals (SDGs); and to have their voice better heard in the international climate change negotiations.</w:t>
      </w:r>
    </w:p>
    <w:p w:rsidR="00851031" w:rsidRPr="00F11FDA" w:rsidRDefault="00851031" w:rsidP="00851031">
      <w:r w:rsidRPr="00F11FDA">
        <w:t xml:space="preserve">The </w:t>
      </w:r>
      <w:r>
        <w:rPr>
          <w:b/>
        </w:rPr>
        <w:t>specific objectives</w:t>
      </w:r>
      <w:r w:rsidRPr="00F11FDA">
        <w:rPr>
          <w:b/>
        </w:rPr>
        <w:t xml:space="preserve"> </w:t>
      </w:r>
      <w:r w:rsidRPr="00F11FDA">
        <w:t xml:space="preserve">of this call for proposals are: </w:t>
      </w:r>
    </w:p>
    <w:p w:rsidR="00851031" w:rsidRPr="00F11FDA" w:rsidRDefault="00851031" w:rsidP="00851031">
      <w:pPr>
        <w:numPr>
          <w:ilvl w:val="0"/>
          <w:numId w:val="30"/>
        </w:numPr>
      </w:pPr>
      <w:r w:rsidRPr="00F11FDA">
        <w:t>strengthen the capacity of SADC Member States (MS) to undertake regional and national adaptation and mitigation actions in response to the challenges caused by the effects of global climate change and climate variability;</w:t>
      </w:r>
    </w:p>
    <w:p w:rsidR="00851031" w:rsidRPr="00F11FDA" w:rsidRDefault="00851031" w:rsidP="00851031">
      <w:pPr>
        <w:numPr>
          <w:ilvl w:val="0"/>
          <w:numId w:val="30"/>
        </w:numPr>
      </w:pPr>
      <w:r w:rsidRPr="00F11FDA">
        <w:t>facilitate implementation of the provisions of the Paris Agreement on Climate Change in SADC MS;</w:t>
      </w:r>
    </w:p>
    <w:p w:rsidR="00851031" w:rsidRPr="00F11FDA" w:rsidRDefault="00851031" w:rsidP="00851031">
      <w:pPr>
        <w:numPr>
          <w:ilvl w:val="0"/>
          <w:numId w:val="30"/>
        </w:numPr>
      </w:pPr>
      <w:r w:rsidRPr="00F11FDA">
        <w:t>facilitate sharing of knowledge and experience with other ACP regional organisations, including South-South Cooperation;</w:t>
      </w:r>
    </w:p>
    <w:p w:rsidR="00851031" w:rsidRPr="00F11FDA" w:rsidRDefault="00851031" w:rsidP="00851031">
      <w:pPr>
        <w:numPr>
          <w:ilvl w:val="0"/>
          <w:numId w:val="30"/>
        </w:numPr>
      </w:pPr>
      <w:r w:rsidRPr="00F11FDA">
        <w:t>assist to design and implement pilot projects on adaptation in 4 Member States and</w:t>
      </w:r>
    </w:p>
    <w:p w:rsidR="00851031" w:rsidRPr="00F11FDA" w:rsidRDefault="00851031" w:rsidP="00851031">
      <w:pPr>
        <w:numPr>
          <w:ilvl w:val="0"/>
          <w:numId w:val="30"/>
        </w:numPr>
      </w:pPr>
      <w:proofErr w:type="gramStart"/>
      <w:r w:rsidRPr="00F11FDA">
        <w:t>support</w:t>
      </w:r>
      <w:proofErr w:type="gramEnd"/>
      <w:r w:rsidRPr="00F11FDA">
        <w:t xml:space="preserve"> Universities and Research Centres from the SADC Region in the development of innovative solutions to climate change challenges.   </w:t>
      </w:r>
    </w:p>
    <w:p w:rsidR="00851031" w:rsidRPr="00F11FDA" w:rsidRDefault="00851031" w:rsidP="00851031">
      <w:pPr>
        <w:pStyle w:val="Guidelines2"/>
      </w:pPr>
      <w:bookmarkStart w:id="2" w:name="_Toc437893838"/>
      <w:r w:rsidRPr="00F11FDA">
        <w:t>Financial allocation provided by the contracting authority</w:t>
      </w:r>
      <w:bookmarkEnd w:id="2"/>
    </w:p>
    <w:p w:rsidR="00851031" w:rsidRDefault="00851031" w:rsidP="00851031">
      <w:r w:rsidRPr="00F11FDA">
        <w:t xml:space="preserve">The overall indicative amount made available under this call for proposals is </w:t>
      </w:r>
      <w:r w:rsidRPr="00F11FDA">
        <w:rPr>
          <w:b/>
        </w:rPr>
        <w:t>USD 2.000.000.00</w:t>
      </w:r>
      <w:r w:rsidRPr="00F11FDA">
        <w:t>. The Contracting Authority reserves the right not to award all available funds.</w:t>
      </w:r>
    </w:p>
    <w:p w:rsidR="00851031" w:rsidRDefault="00851031" w:rsidP="00851031">
      <w:r w:rsidRPr="00107A26">
        <w:t xml:space="preserve">Each pilot project/action will be between </w:t>
      </w:r>
      <w:r w:rsidRPr="00107A26">
        <w:rPr>
          <w:b/>
        </w:rPr>
        <w:t>USD 200.000</w:t>
      </w:r>
      <w:r w:rsidRPr="00107A26">
        <w:t xml:space="preserve"> and </w:t>
      </w:r>
      <w:r w:rsidRPr="00107A26">
        <w:rPr>
          <w:b/>
        </w:rPr>
        <w:t>USD 500.000</w:t>
      </w:r>
      <w:r w:rsidRPr="00107A26">
        <w:t>. This amount will depend on the nature and scale of the proposal.</w:t>
      </w:r>
      <w:r w:rsidRPr="0062522D">
        <w:t xml:space="preserve">  </w:t>
      </w:r>
    </w:p>
    <w:p w:rsidR="00851031" w:rsidRDefault="00851031" w:rsidP="00851031"/>
    <w:p w:rsidR="00851031" w:rsidRDefault="00851031" w:rsidP="00851031"/>
    <w:p w:rsidR="00851031" w:rsidRPr="00F11FDA" w:rsidRDefault="00851031" w:rsidP="00851031"/>
    <w:p w:rsidR="00851031" w:rsidRPr="00865AE4" w:rsidRDefault="00851031" w:rsidP="00851031">
      <w:pPr>
        <w:numPr>
          <w:ilvl w:val="0"/>
          <w:numId w:val="35"/>
        </w:numPr>
        <w:ind w:left="567" w:hanging="567"/>
        <w:rPr>
          <w:b/>
          <w:u w:val="single"/>
        </w:rPr>
      </w:pPr>
      <w:r w:rsidRPr="00865AE4">
        <w:rPr>
          <w:b/>
          <w:u w:val="single"/>
        </w:rPr>
        <w:t>Size of grants</w:t>
      </w:r>
    </w:p>
    <w:p w:rsidR="00851031" w:rsidRPr="001B4576" w:rsidRDefault="00851031" w:rsidP="00851031">
      <w:r w:rsidRPr="00807DAF">
        <w:t xml:space="preserve">Any grant requested under this </w:t>
      </w:r>
      <w:r>
        <w:t>c</w:t>
      </w:r>
      <w:r w:rsidRPr="00807DAF">
        <w:t xml:space="preserve">all for </w:t>
      </w:r>
      <w:r>
        <w:t>p</w:t>
      </w:r>
      <w:r w:rsidRPr="00807DAF">
        <w:t xml:space="preserve">roposals </w:t>
      </w:r>
      <w:r w:rsidRPr="001B4576">
        <w:t>must fall between the following minimum and maximum percentages of total eligible costs of the action:</w:t>
      </w:r>
    </w:p>
    <w:p w:rsidR="00851031" w:rsidRPr="00DB41CE" w:rsidRDefault="00851031" w:rsidP="00851031">
      <w:pPr>
        <w:numPr>
          <w:ilvl w:val="0"/>
          <w:numId w:val="38"/>
        </w:numPr>
        <w:spacing w:before="120" w:after="120"/>
      </w:pPr>
      <w:r w:rsidRPr="00DB41CE">
        <w:t>Minimum percentage: 60 % of the total eligible costs of the action.</w:t>
      </w:r>
    </w:p>
    <w:p w:rsidR="00851031" w:rsidRPr="00DB41CE" w:rsidRDefault="00851031" w:rsidP="00851031">
      <w:pPr>
        <w:pStyle w:val="ListParagraph"/>
        <w:numPr>
          <w:ilvl w:val="0"/>
          <w:numId w:val="38"/>
        </w:numPr>
      </w:pPr>
      <w:r w:rsidRPr="00DB41CE">
        <w:t>Maximum percentage: 80% of the total eligible costs of the action</w:t>
      </w:r>
    </w:p>
    <w:p w:rsidR="00851031" w:rsidRDefault="00851031" w:rsidP="00851031">
      <w:pPr>
        <w:pStyle w:val="ListParagraph"/>
        <w:ind w:left="1080"/>
      </w:pPr>
    </w:p>
    <w:p w:rsidR="00851031" w:rsidRPr="00F11FDA" w:rsidRDefault="00851031" w:rsidP="00851031">
      <w:pPr>
        <w:numPr>
          <w:ilvl w:val="0"/>
          <w:numId w:val="35"/>
        </w:numPr>
        <w:spacing w:before="120"/>
        <w:rPr>
          <w:szCs w:val="22"/>
        </w:rPr>
      </w:pPr>
      <w:r w:rsidRPr="00A4059B">
        <w:rPr>
          <w:szCs w:val="22"/>
        </w:rPr>
        <w:t>The grant may cover the entire eligible costs of the action if this is deemed essential to carry it out. If that is the case, the lead applicant must justify full financing in section 2.1 of Part B of the grant application form. The validity of the justification provided will be examined during the evaluation procedure. The absence of any justification may lead to the rejection of the application.</w:t>
      </w:r>
      <w:r w:rsidRPr="00F11FDA">
        <w:rPr>
          <w:szCs w:val="22"/>
        </w:rPr>
        <w:t xml:space="preserve"> </w:t>
      </w:r>
    </w:p>
    <w:p w:rsidR="00851031" w:rsidRPr="00F11FDA" w:rsidRDefault="00851031" w:rsidP="00851031">
      <w:pPr>
        <w:pStyle w:val="Guidelines1"/>
        <w:rPr>
          <w:rFonts w:ascii="Times New Roman" w:hAnsi="Times New Roman"/>
        </w:rPr>
      </w:pPr>
      <w:r w:rsidRPr="00F11FDA">
        <w:rPr>
          <w:rFonts w:ascii="Times New Roman" w:hAnsi="Times New Roman"/>
        </w:rPr>
        <w:br w:type="page"/>
      </w:r>
      <w:bookmarkStart w:id="3" w:name="_Toc437893839"/>
      <w:r w:rsidRPr="00F11FDA">
        <w:rPr>
          <w:rFonts w:ascii="Times New Roman" w:hAnsi="Times New Roman"/>
        </w:rPr>
        <w:t>Rules FOR thIS call for proposalS</w:t>
      </w:r>
      <w:bookmarkEnd w:id="3"/>
    </w:p>
    <w:p w:rsidR="00851031" w:rsidRPr="00F11FDA" w:rsidRDefault="00851031" w:rsidP="00851031">
      <w:r w:rsidRPr="00F11FDA">
        <w:t xml:space="preserve">These guidelines set out the rules for the submission, selection and implementation of the actions financed under this call, in conformity with the SADC </w:t>
      </w:r>
      <w:r w:rsidRPr="005D6BBA">
        <w:t>Procurement and Grants Policy</w:t>
      </w:r>
      <w:r>
        <w:t xml:space="preserve"> of 2019 and SADC</w:t>
      </w:r>
      <w:r w:rsidRPr="005D6BBA">
        <w:t xml:space="preserve"> </w:t>
      </w:r>
      <w:r>
        <w:t xml:space="preserve">Procurement and Grants </w:t>
      </w:r>
      <w:r w:rsidRPr="00F11FDA">
        <w:t>Guidelines</w:t>
      </w:r>
      <w:r>
        <w:t xml:space="preserve"> of November 2020</w:t>
      </w:r>
      <w:r w:rsidRPr="00F11FDA">
        <w:t xml:space="preserve">, which is applicable to the present call (available on the Internet at this address </w:t>
      </w:r>
      <w:r w:rsidRPr="00F11FDA">
        <w:rPr>
          <w:i/>
        </w:rPr>
        <w:t>http://www.sadc.int/opportunities/procurement/sadc-procurement-documentation/)</w:t>
      </w:r>
    </w:p>
    <w:p w:rsidR="00851031" w:rsidRPr="00F11FDA" w:rsidRDefault="00851031" w:rsidP="00851031">
      <w:pPr>
        <w:pStyle w:val="Guidelines2"/>
      </w:pPr>
      <w:bookmarkStart w:id="4" w:name="_Toc437893840"/>
      <w:r w:rsidRPr="00F11FDA">
        <w:t>Eligibility criteria</w:t>
      </w:r>
      <w:bookmarkEnd w:id="4"/>
    </w:p>
    <w:p w:rsidR="00851031" w:rsidRPr="00F11FDA" w:rsidRDefault="00851031" w:rsidP="00851031">
      <w:r w:rsidRPr="00F11FDA">
        <w:t>There are three sets of eligibility criteria, relating to:</w:t>
      </w:r>
    </w:p>
    <w:p w:rsidR="00851031" w:rsidRPr="00F11FDA" w:rsidRDefault="00851031" w:rsidP="00851031">
      <w:pPr>
        <w:numPr>
          <w:ilvl w:val="0"/>
          <w:numId w:val="27"/>
        </w:numPr>
      </w:pPr>
      <w:r w:rsidRPr="00F11FDA">
        <w:t>the actors:</w:t>
      </w:r>
    </w:p>
    <w:p w:rsidR="00851031" w:rsidRPr="00F11FDA" w:rsidRDefault="00851031" w:rsidP="00851031">
      <w:pPr>
        <w:numPr>
          <w:ilvl w:val="0"/>
          <w:numId w:val="13"/>
        </w:numPr>
        <w:ind w:left="1134"/>
      </w:pPr>
      <w:r w:rsidRPr="00F11FDA">
        <w:t>The '</w:t>
      </w:r>
      <w:r w:rsidRPr="00F11FDA">
        <w:rPr>
          <w:b/>
        </w:rPr>
        <w:t>lead applicant'</w:t>
      </w:r>
      <w:r w:rsidRPr="00F11FDA">
        <w:t>, i.e. the entity submitting the application form (2.1.1),</w:t>
      </w:r>
    </w:p>
    <w:p w:rsidR="00851031" w:rsidRPr="00F11FDA" w:rsidRDefault="00851031" w:rsidP="00851031">
      <w:pPr>
        <w:numPr>
          <w:ilvl w:val="0"/>
          <w:numId w:val="13"/>
        </w:numPr>
        <w:ind w:left="1134"/>
      </w:pPr>
      <w:r w:rsidRPr="00F11FDA">
        <w:t xml:space="preserve">if any, its </w:t>
      </w:r>
      <w:r w:rsidRPr="00F11FDA">
        <w:rPr>
          <w:b/>
        </w:rPr>
        <w:t>co-applicant(s)</w:t>
      </w:r>
      <w:r w:rsidRPr="00F11FDA">
        <w:t xml:space="preserve"> (</w:t>
      </w:r>
      <w:r w:rsidRPr="00F11FDA">
        <w:rPr>
          <w:b/>
          <w:u w:val="single"/>
        </w:rPr>
        <w:t>where it is not specified otherwise the lead applicant and its co-applicant(s) are hereinafter jointly referred as "</w:t>
      </w:r>
      <w:r w:rsidRPr="00F11FDA">
        <w:rPr>
          <w:b/>
          <w:i/>
          <w:u w:val="single"/>
        </w:rPr>
        <w:t>applicant(s)</w:t>
      </w:r>
      <w:r w:rsidRPr="00F11FDA">
        <w:t xml:space="preserve">") (2.1.1), </w:t>
      </w:r>
    </w:p>
    <w:p w:rsidR="00851031" w:rsidRPr="00F11FDA" w:rsidRDefault="00851031" w:rsidP="00851031">
      <w:pPr>
        <w:numPr>
          <w:ilvl w:val="0"/>
          <w:numId w:val="13"/>
        </w:numPr>
        <w:ind w:left="1134"/>
      </w:pPr>
      <w:proofErr w:type="gramStart"/>
      <w:r w:rsidRPr="00F11FDA">
        <w:t>and</w:t>
      </w:r>
      <w:proofErr w:type="gramEnd"/>
      <w:r w:rsidRPr="00F11FDA">
        <w:t xml:space="preserve">, if any, </w:t>
      </w:r>
      <w:r w:rsidRPr="00F11FDA">
        <w:rPr>
          <w:b/>
        </w:rPr>
        <w:t>affiliated entity(</w:t>
      </w:r>
      <w:proofErr w:type="spellStart"/>
      <w:r w:rsidRPr="00F11FDA">
        <w:rPr>
          <w:b/>
        </w:rPr>
        <w:t>ies</w:t>
      </w:r>
      <w:proofErr w:type="spellEnd"/>
      <w:r w:rsidRPr="00F11FDA">
        <w:rPr>
          <w:b/>
        </w:rPr>
        <w:t xml:space="preserve">) </w:t>
      </w:r>
      <w:r w:rsidRPr="00F11FDA">
        <w:t>to the lead applicant and/or to a co-applicant(s). (2.1.2);</w:t>
      </w:r>
    </w:p>
    <w:p w:rsidR="00851031" w:rsidRPr="00F11FDA" w:rsidRDefault="00851031" w:rsidP="00851031">
      <w:pPr>
        <w:numPr>
          <w:ilvl w:val="0"/>
          <w:numId w:val="27"/>
        </w:numPr>
      </w:pPr>
      <w:r w:rsidRPr="00F11FDA">
        <w:t>the actions:</w:t>
      </w:r>
    </w:p>
    <w:p w:rsidR="00851031" w:rsidRPr="00F11FDA" w:rsidRDefault="00851031" w:rsidP="00851031">
      <w:pPr>
        <w:ind w:left="720"/>
      </w:pPr>
      <w:r w:rsidRPr="00F11FDA">
        <w:t>Actions for which a grant may be awarded (2.1.4);</w:t>
      </w:r>
    </w:p>
    <w:p w:rsidR="00851031" w:rsidRPr="00F11FDA" w:rsidRDefault="00851031" w:rsidP="00851031">
      <w:pPr>
        <w:numPr>
          <w:ilvl w:val="0"/>
          <w:numId w:val="27"/>
        </w:numPr>
      </w:pPr>
      <w:r w:rsidRPr="00F11FDA">
        <w:t>the costs:</w:t>
      </w:r>
    </w:p>
    <w:p w:rsidR="00851031" w:rsidRPr="00F11FDA" w:rsidRDefault="00851031" w:rsidP="00851031">
      <w:pPr>
        <w:numPr>
          <w:ilvl w:val="0"/>
          <w:numId w:val="13"/>
        </w:numPr>
        <w:ind w:left="1134"/>
      </w:pPr>
      <w:proofErr w:type="gramStart"/>
      <w:r w:rsidRPr="00F11FDA">
        <w:t>types</w:t>
      </w:r>
      <w:proofErr w:type="gramEnd"/>
      <w:r w:rsidRPr="00F11FDA">
        <w:t xml:space="preserve"> of cost that may be taken into account in setting the amount of the grant (2.1.5).</w:t>
      </w:r>
    </w:p>
    <w:p w:rsidR="00851031" w:rsidRPr="00F11FDA" w:rsidRDefault="00851031" w:rsidP="00851031">
      <w:pPr>
        <w:pStyle w:val="Guidelines3"/>
      </w:pPr>
      <w:bookmarkStart w:id="5" w:name="_Toc34808641"/>
      <w:bookmarkStart w:id="6" w:name="_Hlk46820853"/>
      <w:r w:rsidRPr="00F11FDA">
        <w:t>Eligibility of applicants (i.e. lead applicant and co-applicant(s))</w:t>
      </w:r>
      <w:bookmarkEnd w:id="5"/>
    </w:p>
    <w:bookmarkEnd w:id="6"/>
    <w:p w:rsidR="00851031" w:rsidRPr="00F11FDA" w:rsidRDefault="00851031" w:rsidP="00851031">
      <w:pPr>
        <w:spacing w:before="240"/>
        <w:rPr>
          <w:b/>
        </w:rPr>
      </w:pPr>
      <w:r w:rsidRPr="00F11FDA">
        <w:rPr>
          <w:b/>
        </w:rPr>
        <w:t>Lead applicant</w:t>
      </w:r>
    </w:p>
    <w:p w:rsidR="00851031" w:rsidRPr="00F11FDA" w:rsidRDefault="00851031" w:rsidP="00851031">
      <w:pPr>
        <w:ind w:left="426" w:hanging="426"/>
      </w:pPr>
      <w:r w:rsidRPr="00F11FDA">
        <w:t>(1)</w:t>
      </w:r>
      <w:r w:rsidRPr="00F11FDA">
        <w:tab/>
        <w:t>In order to be eligible for a grant, the lead applicant must:</w:t>
      </w:r>
    </w:p>
    <w:p w:rsidR="00851031" w:rsidRPr="00F11FDA" w:rsidRDefault="00851031" w:rsidP="00851031">
      <w:pPr>
        <w:numPr>
          <w:ilvl w:val="0"/>
          <w:numId w:val="14"/>
        </w:numPr>
      </w:pPr>
      <w:r w:rsidRPr="00F11FDA">
        <w:t xml:space="preserve">be a legal person </w:t>
      </w:r>
      <w:r w:rsidRPr="00F11FDA">
        <w:rPr>
          <w:b/>
        </w:rPr>
        <w:t>and</w:t>
      </w:r>
    </w:p>
    <w:p w:rsidR="00851031" w:rsidRPr="00F11FDA" w:rsidRDefault="00851031" w:rsidP="00851031">
      <w:pPr>
        <w:numPr>
          <w:ilvl w:val="0"/>
          <w:numId w:val="14"/>
        </w:numPr>
      </w:pPr>
      <w:r w:rsidRPr="00F11FDA">
        <w:t xml:space="preserve">be non-profit-making </w:t>
      </w:r>
      <w:r w:rsidRPr="00F11FDA">
        <w:rPr>
          <w:b/>
        </w:rPr>
        <w:t>and</w:t>
      </w:r>
    </w:p>
    <w:p w:rsidR="00851031" w:rsidRPr="00063E35" w:rsidRDefault="00851031" w:rsidP="00851031">
      <w:pPr>
        <w:numPr>
          <w:ilvl w:val="0"/>
          <w:numId w:val="14"/>
        </w:numPr>
      </w:pPr>
      <w:r w:rsidRPr="00063E35">
        <w:t xml:space="preserve">be established in a one or more than one SADC Member State </w:t>
      </w:r>
      <w:r w:rsidRPr="00063E35">
        <w:rPr>
          <w:b/>
        </w:rPr>
        <w:t>and/or</w:t>
      </w:r>
    </w:p>
    <w:p w:rsidR="00851031" w:rsidRPr="00C776A8" w:rsidRDefault="00851031" w:rsidP="00851031">
      <w:pPr>
        <w:numPr>
          <w:ilvl w:val="0"/>
          <w:numId w:val="14"/>
        </w:numPr>
      </w:pPr>
      <w:r w:rsidRPr="00F11FDA">
        <w:t>be established in a) an ACP State; b) a Member State of the European Union; c) beneficiaries of the Instrument for pre-accession assistance; d) a Member State of the European Economic Area; e) Overseas Countries and Territories; f) developing countries and territories, as included in the OECD-DAC list of ODA Recipients, which are not members of the G20 group, without prejudice to the status of the Republic of South Africa</w:t>
      </w:r>
      <w:r w:rsidRPr="00F11FDA">
        <w:rPr>
          <w:sz w:val="24"/>
          <w:vertAlign w:val="superscript"/>
        </w:rPr>
        <w:footnoteReference w:id="1"/>
      </w:r>
      <w:r w:rsidRPr="00F11FDA">
        <w:t xml:space="preserve"> (See footnote), as governed by Protocol 3 of the Partnership </w:t>
      </w:r>
      <w:r w:rsidRPr="00FF3C74">
        <w:t>Agreement;</w:t>
      </w:r>
      <w:r w:rsidRPr="00FF3C74">
        <w:rPr>
          <w:b/>
        </w:rPr>
        <w:t xml:space="preserve"> </w:t>
      </w:r>
      <w:r w:rsidRPr="00FF3C74">
        <w:t>and</w:t>
      </w:r>
      <w:r w:rsidRPr="00DA0BF1">
        <w:rPr>
          <w:b/>
        </w:rPr>
        <w:t xml:space="preserve"> </w:t>
      </w:r>
      <w:r w:rsidRPr="00FF3C74">
        <w:t xml:space="preserve">be a legal person with experience in undertaking research and innovation activities in the SADC region; </w:t>
      </w:r>
      <w:r w:rsidRPr="00FF3C74">
        <w:rPr>
          <w:b/>
        </w:rPr>
        <w:t>and</w:t>
      </w:r>
    </w:p>
    <w:p w:rsidR="00851031" w:rsidRPr="00C776A8" w:rsidRDefault="00851031" w:rsidP="00851031">
      <w:pPr>
        <w:numPr>
          <w:ilvl w:val="0"/>
          <w:numId w:val="14"/>
        </w:numPr>
      </w:pPr>
    </w:p>
    <w:p w:rsidR="00851031" w:rsidRPr="00F11FDA" w:rsidRDefault="00851031" w:rsidP="00851031">
      <w:pPr>
        <w:numPr>
          <w:ilvl w:val="0"/>
          <w:numId w:val="14"/>
        </w:numPr>
      </w:pPr>
      <w:proofErr w:type="gramStart"/>
      <w:r w:rsidRPr="00F11FDA">
        <w:t>be</w:t>
      </w:r>
      <w:proofErr w:type="gramEnd"/>
      <w:r w:rsidRPr="00F11FDA">
        <w:t xml:space="preserve"> directly responsible for the preparation and management of the action.</w:t>
      </w:r>
    </w:p>
    <w:p w:rsidR="00851031" w:rsidRPr="00F11FDA" w:rsidRDefault="00851031" w:rsidP="00851031">
      <w:pPr>
        <w:spacing w:after="0"/>
        <w:ind w:left="425" w:hanging="425"/>
        <w:rPr>
          <w:i/>
        </w:rPr>
      </w:pPr>
    </w:p>
    <w:p w:rsidR="00851031" w:rsidRPr="00F11FDA" w:rsidRDefault="00851031" w:rsidP="00851031">
      <w:pPr>
        <w:spacing w:after="0"/>
        <w:ind w:left="425" w:hanging="425"/>
      </w:pPr>
      <w:r w:rsidRPr="00F11FDA">
        <w:t>(2)</w:t>
      </w:r>
      <w:r w:rsidRPr="00F11FDA">
        <w:tab/>
        <w:t>Potential applicants may not participate in calls for proposals or be awarded grants if they are in any of the situations listed in section 2.5.2 of the SADC Guidelines for Procurement and Grants;</w:t>
      </w:r>
    </w:p>
    <w:p w:rsidR="00851031" w:rsidRPr="00F11FDA" w:rsidRDefault="00851031" w:rsidP="00851031">
      <w:pPr>
        <w:spacing w:after="0"/>
        <w:ind w:left="425" w:hanging="425"/>
      </w:pPr>
    </w:p>
    <w:p w:rsidR="00851031" w:rsidRDefault="00851031" w:rsidP="00851031">
      <w:pPr>
        <w:ind w:left="426"/>
      </w:pPr>
      <w:r w:rsidRPr="00F11FDA">
        <w:t xml:space="preserve">In Part B section 8 of the grant application form (‘declaration by the lead applicant’), the lead applicant must declare that the lead applicant himself, the co-applicant(s) and affiliated </w:t>
      </w:r>
      <w:proofErr w:type="gramStart"/>
      <w:r w:rsidRPr="00F11FDA">
        <w:t>entity(</w:t>
      </w:r>
      <w:proofErr w:type="spellStart"/>
      <w:proofErr w:type="gramEnd"/>
      <w:r w:rsidRPr="00F11FDA">
        <w:t>ies</w:t>
      </w:r>
      <w:proofErr w:type="spellEnd"/>
      <w:r w:rsidRPr="00F11FDA">
        <w:t>)</w:t>
      </w:r>
      <w:r w:rsidRPr="00F11FDA" w:rsidDel="007E58A6">
        <w:t xml:space="preserve"> </w:t>
      </w:r>
      <w:r w:rsidRPr="00F11FDA">
        <w:t>are not in any of these situations.</w:t>
      </w:r>
    </w:p>
    <w:p w:rsidR="00851031" w:rsidRPr="00DB41CE" w:rsidRDefault="00851031" w:rsidP="00851031">
      <w:pPr>
        <w:ind w:left="426"/>
      </w:pPr>
      <w:r w:rsidRPr="00DB41CE">
        <w:t>The lead applicant may act individually if established in one or more SADC Member States, or with co-applicant if not established in a SADC Member State, as follows:</w:t>
      </w:r>
    </w:p>
    <w:p w:rsidR="00851031" w:rsidRPr="00DB41CE" w:rsidRDefault="00851031" w:rsidP="00851031">
      <w:pPr>
        <w:ind w:left="426"/>
      </w:pPr>
      <w:r w:rsidRPr="00DB41CE">
        <w:t>(</w:t>
      </w:r>
      <w:proofErr w:type="spellStart"/>
      <w:r w:rsidRPr="00DB41CE">
        <w:t>i</w:t>
      </w:r>
      <w:proofErr w:type="spellEnd"/>
      <w:r w:rsidRPr="00DB41CE">
        <w:t>) Eligible applicants not established in one or more SADC Member States must act with at least one co-applicant established in a SADC Member State.</w:t>
      </w:r>
    </w:p>
    <w:p w:rsidR="00851031" w:rsidRPr="00F11FDA" w:rsidRDefault="00851031" w:rsidP="00851031">
      <w:pPr>
        <w:ind w:left="426"/>
      </w:pPr>
      <w:r w:rsidRPr="00DB41CE">
        <w:t>(ii) The co-applicant shall be responsible for the implementation of a minimum of 35% of the total eligible costs or a minimum of 20% of total eligible costs in the case of two or more co-applicants</w:t>
      </w:r>
    </w:p>
    <w:p w:rsidR="00851031" w:rsidRPr="00F11FDA" w:rsidRDefault="00851031" w:rsidP="00851031">
      <w:pPr>
        <w:ind w:left="426"/>
        <w:rPr>
          <w:snapToGrid/>
        </w:rPr>
      </w:pPr>
      <w:r w:rsidRPr="00F11FDA">
        <w:rPr>
          <w:snapToGrid/>
        </w:rPr>
        <w:t>If awarded the grant contract, the lead applicant will become the beneficiary identified as such in the grant contract. The lead applicant is the main interlocutor of the Contracting Authority. It represents and acts on behalf of any other co-beneficiary (if any) and coordinate the design and implementation of the action.</w:t>
      </w:r>
    </w:p>
    <w:p w:rsidR="00851031" w:rsidRDefault="00851031" w:rsidP="00851031">
      <w:pPr>
        <w:ind w:left="426"/>
        <w:rPr>
          <w:b/>
          <w:snapToGrid/>
        </w:rPr>
      </w:pPr>
      <w:r w:rsidRPr="00F11FDA">
        <w:rPr>
          <w:b/>
          <w:snapToGrid/>
        </w:rPr>
        <w:t>Co-applicant(s)</w:t>
      </w:r>
    </w:p>
    <w:p w:rsidR="00851031" w:rsidRPr="00F11FDA" w:rsidRDefault="00851031" w:rsidP="00851031">
      <w:pPr>
        <w:ind w:left="426"/>
        <w:rPr>
          <w:snapToGrid/>
        </w:rPr>
      </w:pPr>
      <w:r w:rsidRPr="00F11FDA">
        <w:rPr>
          <w:snapToGrid/>
        </w:rPr>
        <w:t xml:space="preserve">Co-applicants participate in designing and implementing the action, and the costs they incur are eligible in the same way as those incurred by the lead applicant. </w:t>
      </w:r>
    </w:p>
    <w:p w:rsidR="00851031" w:rsidRPr="00F11FDA" w:rsidRDefault="00851031" w:rsidP="00851031">
      <w:pPr>
        <w:ind w:left="426"/>
        <w:rPr>
          <w:snapToGrid/>
        </w:rPr>
      </w:pPr>
      <w:r w:rsidRPr="00F11FDA">
        <w:rPr>
          <w:snapToGrid/>
        </w:rPr>
        <w:t>Co-applicants must satisfy the eligibility criteria as applicable to the lead applicant himself/herself.</w:t>
      </w:r>
    </w:p>
    <w:p w:rsidR="00851031" w:rsidRPr="00F11FDA" w:rsidRDefault="00851031" w:rsidP="00851031">
      <w:pPr>
        <w:ind w:left="426"/>
        <w:rPr>
          <w:snapToGrid/>
        </w:rPr>
      </w:pPr>
      <w:r w:rsidRPr="00F11FDA">
        <w:rPr>
          <w:snapToGrid/>
        </w:rPr>
        <w:t>Co-applicants must sign the mandate in Part B section 4 of the grant application form.</w:t>
      </w:r>
    </w:p>
    <w:p w:rsidR="00851031" w:rsidRPr="00F11FDA" w:rsidRDefault="00851031" w:rsidP="00851031">
      <w:pPr>
        <w:ind w:left="426"/>
        <w:rPr>
          <w:snapToGrid/>
        </w:rPr>
      </w:pPr>
      <w:r w:rsidRPr="00F11FDA">
        <w:rPr>
          <w:snapToGrid/>
        </w:rPr>
        <w:t xml:space="preserve">If awarded the grant contract, the co-applicant(s) (if any) will become </w:t>
      </w:r>
      <w:proofErr w:type="gramStart"/>
      <w:r w:rsidRPr="00F11FDA">
        <w:rPr>
          <w:snapToGrid/>
        </w:rPr>
        <w:t>beneficiary(</w:t>
      </w:r>
      <w:proofErr w:type="spellStart"/>
      <w:proofErr w:type="gramEnd"/>
      <w:r w:rsidRPr="00F11FDA">
        <w:rPr>
          <w:snapToGrid/>
        </w:rPr>
        <w:t>ies</w:t>
      </w:r>
      <w:proofErr w:type="spellEnd"/>
      <w:r w:rsidRPr="00F11FDA">
        <w:rPr>
          <w:snapToGrid/>
        </w:rPr>
        <w:t xml:space="preserve">) in the action (together with the lead applicant) </w:t>
      </w:r>
    </w:p>
    <w:p w:rsidR="00851031" w:rsidRPr="00F11FDA" w:rsidRDefault="00851031" w:rsidP="00851031">
      <w:pPr>
        <w:pStyle w:val="Guidelines3"/>
      </w:pPr>
      <w:bookmarkStart w:id="8" w:name="_Toc34808642"/>
      <w:r w:rsidRPr="00F11FDA">
        <w:t>Affiliated entities</w:t>
      </w:r>
      <w:bookmarkEnd w:id="8"/>
    </w:p>
    <w:p w:rsidR="00851031" w:rsidRPr="00F11FDA" w:rsidRDefault="00851031" w:rsidP="00851031">
      <w:pPr>
        <w:rPr>
          <w:snapToGrid/>
          <w:highlight w:val="lightGray"/>
        </w:rPr>
      </w:pPr>
    </w:p>
    <w:p w:rsidR="00851031" w:rsidRPr="00F11FDA" w:rsidRDefault="00851031" w:rsidP="00851031">
      <w:pPr>
        <w:rPr>
          <w:snapToGrid/>
        </w:rPr>
      </w:pPr>
      <w:r w:rsidRPr="00F11FDA">
        <w:rPr>
          <w:snapToGrid/>
        </w:rPr>
        <w:t xml:space="preserve">The lead applicant and its co-applicant(s) may act with affiliated </w:t>
      </w:r>
      <w:proofErr w:type="gramStart"/>
      <w:r w:rsidRPr="00F11FDA">
        <w:rPr>
          <w:snapToGrid/>
        </w:rPr>
        <w:t>entity(</w:t>
      </w:r>
      <w:proofErr w:type="spellStart"/>
      <w:proofErr w:type="gramEnd"/>
      <w:r w:rsidRPr="00F11FDA">
        <w:rPr>
          <w:snapToGrid/>
        </w:rPr>
        <w:t>ies</w:t>
      </w:r>
      <w:proofErr w:type="spellEnd"/>
      <w:r w:rsidRPr="00F11FDA">
        <w:rPr>
          <w:snapToGrid/>
        </w:rPr>
        <w:t>).</w:t>
      </w:r>
    </w:p>
    <w:p w:rsidR="00851031" w:rsidRPr="00F11FDA" w:rsidRDefault="00851031" w:rsidP="00851031">
      <w:r w:rsidRPr="00F11FDA">
        <w:rPr>
          <w:b/>
        </w:rPr>
        <w:t>Only the following entities may be considered as affiliated entities to the lead applicant and/or to co-applicant(s):</w:t>
      </w:r>
    </w:p>
    <w:p w:rsidR="00851031" w:rsidRPr="00F11FDA" w:rsidRDefault="00851031" w:rsidP="00851031">
      <w:pPr>
        <w:keepNext/>
        <w:spacing w:after="120" w:line="276" w:lineRule="auto"/>
      </w:pPr>
      <w:r w:rsidRPr="00F11FDA">
        <w:t>Only entities having a structural link with the applicants (i.e. the lead applicant or a co-applicant), in particular a legal or capital link.</w:t>
      </w:r>
    </w:p>
    <w:p w:rsidR="00851031" w:rsidRPr="00F11FDA" w:rsidRDefault="00851031" w:rsidP="00851031">
      <w:pPr>
        <w:spacing w:line="276" w:lineRule="auto"/>
      </w:pPr>
      <w:r w:rsidRPr="00F11FDA">
        <w:t>This structural link encompasses mainly two notions:</w:t>
      </w:r>
    </w:p>
    <w:p w:rsidR="00851031" w:rsidRPr="00F11FDA" w:rsidRDefault="00851031" w:rsidP="00851031">
      <w:pPr>
        <w:spacing w:line="276" w:lineRule="auto"/>
        <w:ind w:left="720" w:hanging="567"/>
      </w:pPr>
      <w:r w:rsidRPr="00F11FDA">
        <w:t>(</w:t>
      </w:r>
      <w:proofErr w:type="spellStart"/>
      <w:r w:rsidRPr="00F11FDA">
        <w:t>i</w:t>
      </w:r>
      <w:proofErr w:type="spellEnd"/>
      <w:r w:rsidRPr="00F11FDA">
        <w:t xml:space="preserve">) </w:t>
      </w:r>
      <w:r w:rsidRPr="00F11FDA">
        <w:tab/>
        <w:t>Control on the annual financial statements, consolidated financial statements and related reports of certain types of undertakings:</w:t>
      </w:r>
    </w:p>
    <w:p w:rsidR="00851031" w:rsidRPr="00F11FDA" w:rsidRDefault="00851031" w:rsidP="00851031">
      <w:pPr>
        <w:spacing w:after="120" w:line="276" w:lineRule="auto"/>
        <w:ind w:left="709"/>
      </w:pPr>
      <w:r w:rsidRPr="00F11FDA">
        <w:t>Entities affiliated to an applicant may hence be:</w:t>
      </w:r>
    </w:p>
    <w:p w:rsidR="00851031" w:rsidRPr="00F11FDA" w:rsidRDefault="00851031" w:rsidP="00851031">
      <w:pPr>
        <w:numPr>
          <w:ilvl w:val="0"/>
          <w:numId w:val="28"/>
        </w:numPr>
        <w:spacing w:after="0" w:line="276" w:lineRule="auto"/>
        <w:ind w:left="1276" w:hanging="283"/>
      </w:pPr>
      <w:r w:rsidRPr="00F11FDA">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rsidR="00851031" w:rsidRPr="00F11FDA" w:rsidRDefault="00851031" w:rsidP="00851031">
      <w:pPr>
        <w:numPr>
          <w:ilvl w:val="0"/>
          <w:numId w:val="28"/>
        </w:numPr>
        <w:spacing w:after="0" w:line="276" w:lineRule="auto"/>
        <w:ind w:left="1276" w:hanging="283"/>
      </w:pPr>
      <w:r w:rsidRPr="00F11FDA">
        <w:t>Entities directly or indirectly controlling the applicant (parent companies). Likewise, they may be entities controlling an entity controlling the applicant;</w:t>
      </w:r>
    </w:p>
    <w:p w:rsidR="00851031" w:rsidRPr="00F11FDA" w:rsidRDefault="00851031" w:rsidP="00851031">
      <w:pPr>
        <w:numPr>
          <w:ilvl w:val="0"/>
          <w:numId w:val="28"/>
        </w:numPr>
        <w:spacing w:after="0" w:line="276" w:lineRule="auto"/>
        <w:ind w:left="1276" w:hanging="283"/>
      </w:pPr>
      <w:r w:rsidRPr="00F11FDA">
        <w:t>Entities under the same direct or indirect control as the applicant (sister companies).</w:t>
      </w:r>
    </w:p>
    <w:p w:rsidR="00851031" w:rsidRPr="00F11FDA" w:rsidRDefault="00851031" w:rsidP="00851031">
      <w:pPr>
        <w:spacing w:after="0" w:line="276" w:lineRule="auto"/>
        <w:ind w:left="720" w:hanging="578"/>
      </w:pPr>
      <w:r w:rsidRPr="00F11FDA">
        <w:t xml:space="preserve">(ii) </w:t>
      </w:r>
      <w:r w:rsidRPr="00F11FDA">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rsidR="00851031" w:rsidRPr="00F11FDA" w:rsidRDefault="00851031" w:rsidP="00851031">
      <w:pPr>
        <w:spacing w:after="0" w:line="276" w:lineRule="auto"/>
      </w:pPr>
    </w:p>
    <w:p w:rsidR="00851031" w:rsidRPr="00F11FDA" w:rsidRDefault="00851031" w:rsidP="00851031">
      <w:pPr>
        <w:spacing w:after="0" w:line="276" w:lineRule="auto"/>
      </w:pPr>
      <w:r w:rsidRPr="00F11FDA">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rsidR="00851031" w:rsidRPr="00F11FDA" w:rsidRDefault="00851031" w:rsidP="00851031">
      <w:pPr>
        <w:spacing w:after="0" w:line="276" w:lineRule="auto"/>
        <w:ind w:left="720"/>
      </w:pPr>
    </w:p>
    <w:p w:rsidR="00851031" w:rsidRPr="00F11FDA" w:rsidRDefault="00851031" w:rsidP="00851031">
      <w:pPr>
        <w:spacing w:line="276" w:lineRule="auto"/>
      </w:pPr>
      <w:r w:rsidRPr="00F11FDA">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rsidR="00851031" w:rsidRPr="00F11FDA" w:rsidRDefault="00851031" w:rsidP="00851031">
      <w:pPr>
        <w:pStyle w:val="Heading5"/>
        <w:spacing w:line="276" w:lineRule="auto"/>
        <w:rPr>
          <w:rFonts w:ascii="Times New Roman" w:hAnsi="Times New Roman"/>
          <w:szCs w:val="22"/>
          <w:u w:val="single"/>
        </w:rPr>
      </w:pPr>
      <w:r w:rsidRPr="00F11FDA">
        <w:rPr>
          <w:rFonts w:ascii="Times New Roman" w:hAnsi="Times New Roman"/>
          <w:szCs w:val="22"/>
          <w:u w:val="single"/>
        </w:rPr>
        <w:t xml:space="preserve">What is not an affiliated entity? </w:t>
      </w:r>
    </w:p>
    <w:p w:rsidR="00851031" w:rsidRPr="00F11FDA" w:rsidRDefault="00851031" w:rsidP="00851031">
      <w:pPr>
        <w:spacing w:after="0"/>
      </w:pPr>
    </w:p>
    <w:p w:rsidR="00851031" w:rsidRPr="00F11FDA" w:rsidRDefault="00851031" w:rsidP="00851031">
      <w:pPr>
        <w:spacing w:after="0"/>
      </w:pPr>
      <w:r w:rsidRPr="00F11FDA">
        <w:t>The following are not considered entities affiliated to an applicant:</w:t>
      </w:r>
    </w:p>
    <w:p w:rsidR="00851031" w:rsidRPr="00F11FDA" w:rsidRDefault="00851031" w:rsidP="00851031">
      <w:pPr>
        <w:spacing w:after="0" w:line="276" w:lineRule="auto"/>
        <w:rPr>
          <w:szCs w:val="22"/>
        </w:rPr>
      </w:pPr>
    </w:p>
    <w:p w:rsidR="00851031" w:rsidRPr="00F11FDA" w:rsidRDefault="00851031" w:rsidP="00851031">
      <w:pPr>
        <w:numPr>
          <w:ilvl w:val="0"/>
          <w:numId w:val="29"/>
        </w:numPr>
        <w:spacing w:after="0" w:line="276" w:lineRule="auto"/>
      </w:pPr>
      <w:r w:rsidRPr="00F11FDA">
        <w:t>Entities that have entered into a (procurement) contract or subcontract with an applicant, act as concessionaires or delegates for public services for an applicant,</w:t>
      </w:r>
    </w:p>
    <w:p w:rsidR="00851031" w:rsidRPr="00F11FDA" w:rsidRDefault="00851031" w:rsidP="00851031">
      <w:pPr>
        <w:numPr>
          <w:ilvl w:val="0"/>
          <w:numId w:val="29"/>
        </w:numPr>
        <w:spacing w:after="0" w:line="276" w:lineRule="auto"/>
      </w:pPr>
      <w:r w:rsidRPr="00F11FDA">
        <w:t>Entities that receive financial support from the applicant,</w:t>
      </w:r>
    </w:p>
    <w:p w:rsidR="00851031" w:rsidRPr="00F11FDA" w:rsidRDefault="00851031" w:rsidP="00851031">
      <w:pPr>
        <w:numPr>
          <w:ilvl w:val="0"/>
          <w:numId w:val="29"/>
        </w:numPr>
        <w:spacing w:after="0" w:line="276" w:lineRule="auto"/>
      </w:pPr>
      <w:r w:rsidRPr="00F11FDA">
        <w:t>Entities that cooperate on a regular basis with an applicant on the basis of a memorandum of understanding or share some assets,</w:t>
      </w:r>
    </w:p>
    <w:p w:rsidR="00851031" w:rsidRPr="00F11FDA" w:rsidRDefault="00851031" w:rsidP="00851031">
      <w:pPr>
        <w:numPr>
          <w:ilvl w:val="0"/>
          <w:numId w:val="29"/>
        </w:numPr>
        <w:spacing w:after="0" w:line="276" w:lineRule="auto"/>
      </w:pPr>
      <w:r w:rsidRPr="00F11FDA">
        <w:t>Entities that have signed a consortium agreement under the grant contract (unless this consortium agreement leads to the creation of a "sole applicant" as described above).</w:t>
      </w:r>
    </w:p>
    <w:p w:rsidR="00851031" w:rsidRPr="00F11FDA" w:rsidRDefault="00851031" w:rsidP="00851031">
      <w:pPr>
        <w:spacing w:after="0" w:line="276" w:lineRule="auto"/>
      </w:pPr>
    </w:p>
    <w:p w:rsidR="00851031" w:rsidRPr="00F11FDA" w:rsidRDefault="00851031" w:rsidP="00851031">
      <w:pPr>
        <w:spacing w:after="0" w:line="276" w:lineRule="auto"/>
        <w:rPr>
          <w:u w:val="single"/>
        </w:rPr>
      </w:pPr>
      <w:r w:rsidRPr="00F11FDA">
        <w:rPr>
          <w:u w:val="single"/>
        </w:rPr>
        <w:t>How to verify the existence of the required link with an applicant?</w:t>
      </w:r>
    </w:p>
    <w:p w:rsidR="00851031" w:rsidRPr="00F11FDA" w:rsidRDefault="00851031" w:rsidP="00851031">
      <w:pPr>
        <w:spacing w:after="0"/>
      </w:pPr>
    </w:p>
    <w:p w:rsidR="00851031" w:rsidRPr="00F11FDA" w:rsidRDefault="00851031" w:rsidP="00851031">
      <w:pPr>
        <w:spacing w:after="0" w:line="276" w:lineRule="auto"/>
        <w:ind w:left="8"/>
      </w:pPr>
      <w:r w:rsidRPr="00F11FDA">
        <w:t>The affiliation resulting from control may in particular be proved on the basis of the consolidated accounts of the group of entities the applicant and its proposed affiliates belong to.</w:t>
      </w:r>
    </w:p>
    <w:p w:rsidR="00851031" w:rsidRPr="00F11FDA" w:rsidRDefault="00851031" w:rsidP="00851031">
      <w:pPr>
        <w:spacing w:after="0" w:line="276" w:lineRule="auto"/>
      </w:pPr>
    </w:p>
    <w:p w:rsidR="00851031" w:rsidRPr="00F11FDA" w:rsidRDefault="00851031" w:rsidP="00851031">
      <w:pPr>
        <w:spacing w:after="0" w:line="276" w:lineRule="auto"/>
      </w:pPr>
      <w:r w:rsidRPr="00F11FDA">
        <w:t>The affiliation resulting from membership may in particular be proved on the basis of the statutes or equivalent act establishing the entity (network, federation, association) which the applicant constitutes or in which the applicant participates.</w:t>
      </w:r>
    </w:p>
    <w:p w:rsidR="00851031" w:rsidRPr="00F11FDA" w:rsidRDefault="00851031" w:rsidP="00851031">
      <w:r w:rsidRPr="00D70C55">
        <w:t xml:space="preserve">If the applicants are awarded a grant contract, their affiliated </w:t>
      </w:r>
      <w:proofErr w:type="gramStart"/>
      <w:r w:rsidRPr="00D70C55">
        <w:t>entity(</w:t>
      </w:r>
      <w:proofErr w:type="spellStart"/>
      <w:proofErr w:type="gramEnd"/>
      <w:r w:rsidRPr="00D70C55">
        <w:t>ies</w:t>
      </w:r>
      <w:proofErr w:type="spellEnd"/>
      <w:r w:rsidRPr="00D70C55">
        <w:t>) will not become beneficiary(</w:t>
      </w:r>
      <w:proofErr w:type="spellStart"/>
      <w:r w:rsidRPr="00D70C55">
        <w:t>ies</w:t>
      </w:r>
      <w:proofErr w:type="spellEnd"/>
      <w:r w:rsidRPr="00D70C55">
        <w:t>) of the action and signatory(</w:t>
      </w:r>
      <w:proofErr w:type="spellStart"/>
      <w:r w:rsidRPr="00D70C55">
        <w:t>ies</w:t>
      </w:r>
      <w:proofErr w:type="spellEnd"/>
      <w:r w:rsidRPr="00D70C55">
        <w:t>) of the grant contract. However, they will participate in the design and in the implementation of the action and the costs they incur (including those incurred for implementation contracts and financial support to third parties) may be accepted as eligible costs, provided they comply with all the relevant rules already applicable to the beneficiary(</w:t>
      </w:r>
      <w:proofErr w:type="spellStart"/>
      <w:r w:rsidRPr="00D70C55">
        <w:t>ies</w:t>
      </w:r>
      <w:proofErr w:type="spellEnd"/>
      <w:r w:rsidRPr="00D70C55">
        <w:t>) under the grant contract.</w:t>
      </w:r>
    </w:p>
    <w:p w:rsidR="00851031" w:rsidRPr="00F11FDA" w:rsidRDefault="00851031" w:rsidP="00851031">
      <w:r w:rsidRPr="00F11FDA">
        <w:t xml:space="preserve">Affiliated </w:t>
      </w:r>
      <w:proofErr w:type="gramStart"/>
      <w:r w:rsidRPr="00F11FDA">
        <w:t>entity(</w:t>
      </w:r>
      <w:proofErr w:type="spellStart"/>
      <w:proofErr w:type="gramEnd"/>
      <w:r w:rsidRPr="00F11FDA">
        <w:t>ies</w:t>
      </w:r>
      <w:proofErr w:type="spellEnd"/>
      <w:r w:rsidRPr="00F11FDA">
        <w:t xml:space="preserve">) must satisfy the same eligibility criteria as the lead applicant and the co-applicant(s).  They must sign the affiliated </w:t>
      </w:r>
      <w:proofErr w:type="gramStart"/>
      <w:r w:rsidRPr="00F11FDA">
        <w:t>entity(</w:t>
      </w:r>
      <w:proofErr w:type="spellStart"/>
      <w:proofErr w:type="gramEnd"/>
      <w:r w:rsidRPr="00F11FDA">
        <w:t>ies</w:t>
      </w:r>
      <w:proofErr w:type="spellEnd"/>
      <w:r w:rsidRPr="00F11FDA">
        <w:t>) statement in Part B section 5 of the grant application form.]</w:t>
      </w:r>
    </w:p>
    <w:p w:rsidR="00851031" w:rsidRPr="00F11FDA" w:rsidRDefault="00851031" w:rsidP="00851031">
      <w:pPr>
        <w:pStyle w:val="Guidelines3"/>
      </w:pPr>
      <w:bookmarkStart w:id="9" w:name="_Toc34808643"/>
      <w:r w:rsidRPr="00F11FDA">
        <w:t>Associates and Contractors</w:t>
      </w:r>
      <w:bookmarkEnd w:id="9"/>
    </w:p>
    <w:p w:rsidR="00851031" w:rsidRPr="00F11FDA" w:rsidRDefault="00851031" w:rsidP="00851031">
      <w:pPr>
        <w:spacing w:before="240"/>
      </w:pPr>
      <w:r w:rsidRPr="00F11FDA">
        <w:t>The following entities are not applicants nor affiliated entities and do not have to sign the "mandate for co-applicant(s)" or "affiliated entities' statement":</w:t>
      </w:r>
    </w:p>
    <w:p w:rsidR="00851031" w:rsidRPr="00F11FDA" w:rsidRDefault="00851031" w:rsidP="00851031">
      <w:pPr>
        <w:numPr>
          <w:ilvl w:val="0"/>
          <w:numId w:val="15"/>
        </w:numPr>
      </w:pPr>
      <w:r w:rsidRPr="00F11FDA">
        <w:t>Associates</w:t>
      </w:r>
    </w:p>
    <w:p w:rsidR="00851031" w:rsidRPr="00F11FDA" w:rsidRDefault="00851031" w:rsidP="00851031">
      <w:r w:rsidRPr="00F11FDA">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rsidR="00851031" w:rsidRPr="00F11FDA" w:rsidRDefault="00851031" w:rsidP="00851031">
      <w:pPr>
        <w:numPr>
          <w:ilvl w:val="0"/>
          <w:numId w:val="15"/>
        </w:numPr>
      </w:pPr>
      <w:r w:rsidRPr="00F11FDA">
        <w:t>Contractors</w:t>
      </w:r>
    </w:p>
    <w:p w:rsidR="00851031" w:rsidRPr="00F11FDA" w:rsidRDefault="00851031" w:rsidP="00851031">
      <w:r w:rsidRPr="00F11FDA">
        <w:t xml:space="preserve">The beneficiaries and their affiliated entities are permitted to award contracts. Associates or affiliated </w:t>
      </w:r>
      <w:proofErr w:type="gramStart"/>
      <w:r w:rsidRPr="00F11FDA">
        <w:t>entity(</w:t>
      </w:r>
      <w:proofErr w:type="spellStart"/>
      <w:proofErr w:type="gramEnd"/>
      <w:r w:rsidRPr="00F11FDA">
        <w:t>ies</w:t>
      </w:r>
      <w:proofErr w:type="spellEnd"/>
      <w:r w:rsidRPr="00F11FDA">
        <w:t>) cannot be also contractors in the project. Contractors are subject to the procurement rules set out in the Procurement rules agreed between the Lead Applicant and the Contractors.</w:t>
      </w:r>
    </w:p>
    <w:p w:rsidR="00851031" w:rsidRPr="00F11FDA" w:rsidRDefault="00851031" w:rsidP="00851031"/>
    <w:p w:rsidR="00851031" w:rsidRPr="00F11FDA" w:rsidRDefault="00851031" w:rsidP="00851031">
      <w:pPr>
        <w:pStyle w:val="Guidelines3"/>
      </w:pPr>
      <w:bookmarkStart w:id="10" w:name="_Toc380145061"/>
      <w:bookmarkStart w:id="11" w:name="_Toc380145063"/>
      <w:bookmarkStart w:id="12" w:name="_Toc380145064"/>
      <w:bookmarkStart w:id="13" w:name="_Toc437893844"/>
      <w:bookmarkEnd w:id="10"/>
      <w:bookmarkEnd w:id="11"/>
      <w:bookmarkEnd w:id="12"/>
      <w:r w:rsidRPr="00F11FDA">
        <w:t>Eligible actions: actions for which an application may be made</w:t>
      </w:r>
      <w:bookmarkEnd w:id="13"/>
    </w:p>
    <w:p w:rsidR="00851031" w:rsidRPr="00D70C55" w:rsidRDefault="00851031" w:rsidP="00851031">
      <w:pPr>
        <w:spacing w:before="240"/>
        <w:rPr>
          <w:b/>
        </w:rPr>
      </w:pPr>
      <w:r>
        <w:rPr>
          <w:b/>
        </w:rPr>
        <w:t>Definition</w:t>
      </w:r>
    </w:p>
    <w:p w:rsidR="00851031" w:rsidRPr="00F11FDA" w:rsidRDefault="00851031" w:rsidP="00851031">
      <w:r w:rsidRPr="00F11FDA">
        <w:t>An action is composed of a set of activities.</w:t>
      </w:r>
    </w:p>
    <w:p w:rsidR="00851031" w:rsidRPr="00D70C55" w:rsidRDefault="00851031" w:rsidP="00851031">
      <w:pPr>
        <w:rPr>
          <w:b/>
          <w:u w:val="single"/>
        </w:rPr>
      </w:pPr>
      <w:r w:rsidRPr="00D70C55">
        <w:rPr>
          <w:b/>
          <w:u w:val="single"/>
        </w:rPr>
        <w:t>Duration</w:t>
      </w:r>
    </w:p>
    <w:p w:rsidR="00851031" w:rsidRPr="00F11FDA" w:rsidRDefault="00851031" w:rsidP="00851031">
      <w:r w:rsidRPr="00F11FDA">
        <w:t xml:space="preserve">The initial planned duration of an action may </w:t>
      </w:r>
      <w:r w:rsidRPr="00DA0BF1">
        <w:t>not be less than 12 months nor</w:t>
      </w:r>
      <w:r w:rsidRPr="00F11FDA">
        <w:t xml:space="preserve"> exceed </w:t>
      </w:r>
      <w:r>
        <w:t>24</w:t>
      </w:r>
      <w:r w:rsidRPr="00F11FDA">
        <w:t xml:space="preserve"> months.</w:t>
      </w:r>
    </w:p>
    <w:p w:rsidR="00851031" w:rsidRPr="006F0DF8" w:rsidRDefault="00851031" w:rsidP="00851031">
      <w:pPr>
        <w:rPr>
          <w:b/>
        </w:rPr>
      </w:pPr>
      <w:r w:rsidRPr="006F0DF8">
        <w:rPr>
          <w:b/>
        </w:rPr>
        <w:t>Sectors or themes</w:t>
      </w:r>
    </w:p>
    <w:p w:rsidR="00851031" w:rsidRPr="00F11FDA" w:rsidRDefault="00851031" w:rsidP="00851031">
      <w:r w:rsidRPr="00F11FDA">
        <w:t>The actions must relate to the following themes/sectors:</w:t>
      </w:r>
    </w:p>
    <w:p w:rsidR="00851031" w:rsidRPr="006F0DF8" w:rsidRDefault="00851031" w:rsidP="00851031">
      <w:pPr>
        <w:rPr>
          <w:b/>
        </w:rPr>
      </w:pPr>
      <w:r w:rsidRPr="006F0DF8">
        <w:rPr>
          <w:b/>
        </w:rPr>
        <w:t xml:space="preserve">Renewable energy and energy efficiency </w:t>
      </w:r>
    </w:p>
    <w:p w:rsidR="00851031" w:rsidRDefault="00851031" w:rsidP="00851031">
      <w:pPr>
        <w:numPr>
          <w:ilvl w:val="0"/>
          <w:numId w:val="31"/>
        </w:numPr>
      </w:pPr>
      <w:bookmarkStart w:id="14" w:name="_Hlk51836952"/>
      <w:r>
        <w:t xml:space="preserve">promote renewable energy and energy-efficient technologies </w:t>
      </w:r>
      <w:bookmarkEnd w:id="14"/>
      <w:r>
        <w:t>e.g. climate-resilient solar-powered irrigation, drinking water supply, energy efficient building codes</w:t>
      </w:r>
    </w:p>
    <w:p w:rsidR="00851031" w:rsidRDefault="00851031" w:rsidP="00851031">
      <w:pPr>
        <w:numPr>
          <w:ilvl w:val="0"/>
          <w:numId w:val="31"/>
        </w:numPr>
      </w:pPr>
      <w:r>
        <w:t>Promoting Clean Energy access and security in local communities e.g. solar energy, hydrological energy, biogas, geothermal, thermal, wind energy</w:t>
      </w:r>
    </w:p>
    <w:p w:rsidR="00851031" w:rsidRDefault="00851031" w:rsidP="00851031">
      <w:pPr>
        <w:numPr>
          <w:ilvl w:val="0"/>
          <w:numId w:val="31"/>
        </w:numPr>
      </w:pPr>
      <w:r>
        <w:t>Support transparent regulation of energy sectors to improve affordability, create confidence for investors and consumers.</w:t>
      </w:r>
    </w:p>
    <w:p w:rsidR="00851031" w:rsidRDefault="00851031" w:rsidP="00851031">
      <w:pPr>
        <w:rPr>
          <w:b/>
        </w:rPr>
      </w:pPr>
    </w:p>
    <w:p w:rsidR="00851031" w:rsidRPr="006F0DF8" w:rsidRDefault="00851031" w:rsidP="00851031">
      <w:pPr>
        <w:rPr>
          <w:b/>
        </w:rPr>
      </w:pPr>
      <w:r w:rsidRPr="006F0DF8">
        <w:rPr>
          <w:b/>
        </w:rPr>
        <w:t>Ecosystems –based Adaptation (</w:t>
      </w:r>
      <w:proofErr w:type="spellStart"/>
      <w:r w:rsidRPr="006F0DF8">
        <w:rPr>
          <w:b/>
        </w:rPr>
        <w:t>EbA</w:t>
      </w:r>
      <w:proofErr w:type="spellEnd"/>
      <w:r w:rsidRPr="006F0DF8">
        <w:rPr>
          <w:b/>
        </w:rPr>
        <w:t>)-including coastal/ marine resources</w:t>
      </w:r>
    </w:p>
    <w:p w:rsidR="00851031" w:rsidRDefault="00851031" w:rsidP="00851031">
      <w:pPr>
        <w:numPr>
          <w:ilvl w:val="0"/>
          <w:numId w:val="31"/>
        </w:numPr>
      </w:pPr>
      <w:r>
        <w:t>Promote mangrove restoration/rehabilitation to reduce wave energy, erosion and storm surge water levels, thus limiting coastal flooding, saline intrusion into groundwater and farmlands, and damage to property and livelihoods</w:t>
      </w:r>
    </w:p>
    <w:p w:rsidR="00851031" w:rsidRDefault="00851031" w:rsidP="00851031">
      <w:pPr>
        <w:numPr>
          <w:ilvl w:val="0"/>
          <w:numId w:val="31"/>
        </w:numPr>
      </w:pPr>
      <w:r>
        <w:t>Promote community-based watershed restoration, including the development of watershed management plans</w:t>
      </w:r>
    </w:p>
    <w:p w:rsidR="00851031" w:rsidRDefault="00851031" w:rsidP="00851031">
      <w:pPr>
        <w:rPr>
          <w:b/>
        </w:rPr>
      </w:pPr>
    </w:p>
    <w:p w:rsidR="00851031" w:rsidRPr="006F0DF8" w:rsidRDefault="00851031" w:rsidP="00851031">
      <w:pPr>
        <w:rPr>
          <w:b/>
        </w:rPr>
      </w:pPr>
      <w:r w:rsidRPr="006F0DF8">
        <w:rPr>
          <w:b/>
        </w:rPr>
        <w:t>Climate Smart Agriculture (CSA)</w:t>
      </w:r>
    </w:p>
    <w:p w:rsidR="00851031" w:rsidRDefault="00851031" w:rsidP="00851031">
      <w:pPr>
        <w:numPr>
          <w:ilvl w:val="0"/>
          <w:numId w:val="31"/>
        </w:numPr>
      </w:pPr>
      <w:r>
        <w:t>Enhance capacity of SADC Member States to integrate climate change into agriculture programmes and investments through promoting climate-smart agriculture (CSA)</w:t>
      </w:r>
    </w:p>
    <w:p w:rsidR="00851031" w:rsidRDefault="00851031" w:rsidP="00851031">
      <w:pPr>
        <w:numPr>
          <w:ilvl w:val="0"/>
          <w:numId w:val="31"/>
        </w:numPr>
      </w:pPr>
      <w:r>
        <w:t>Support small holder farmers to adopt CSA practices and technologies</w:t>
      </w:r>
    </w:p>
    <w:p w:rsidR="00851031" w:rsidRDefault="00851031" w:rsidP="00851031">
      <w:pPr>
        <w:rPr>
          <w:b/>
        </w:rPr>
      </w:pPr>
    </w:p>
    <w:p w:rsidR="00851031" w:rsidRPr="006F0DF8" w:rsidRDefault="00851031" w:rsidP="00851031">
      <w:pPr>
        <w:rPr>
          <w:b/>
        </w:rPr>
      </w:pPr>
      <w:r w:rsidRPr="006F0DF8">
        <w:rPr>
          <w:b/>
        </w:rPr>
        <w:t>Integrated water resources management (IWRM) including trans-boundary management</w:t>
      </w:r>
    </w:p>
    <w:p w:rsidR="00851031" w:rsidRDefault="00851031" w:rsidP="00851031">
      <w:pPr>
        <w:numPr>
          <w:ilvl w:val="0"/>
          <w:numId w:val="31"/>
        </w:numPr>
      </w:pPr>
      <w:r>
        <w:t>Promote Water, Energy and Food Security Nexus approach, document lessons, and facilitate regional learning.</w:t>
      </w:r>
    </w:p>
    <w:p w:rsidR="00851031" w:rsidRDefault="00851031" w:rsidP="00851031">
      <w:pPr>
        <w:numPr>
          <w:ilvl w:val="0"/>
          <w:numId w:val="31"/>
        </w:numPr>
      </w:pPr>
      <w:r>
        <w:t>Increasing climate resilience of inland waters and supporting local livelihoods</w:t>
      </w:r>
    </w:p>
    <w:p w:rsidR="00851031" w:rsidRDefault="00851031" w:rsidP="00851031"/>
    <w:p w:rsidR="00851031" w:rsidRPr="002747F7" w:rsidRDefault="00851031" w:rsidP="00851031">
      <w:pPr>
        <w:rPr>
          <w:b/>
          <w:u w:val="single"/>
        </w:rPr>
      </w:pPr>
      <w:r w:rsidRPr="002747F7">
        <w:rPr>
          <w:b/>
          <w:u w:val="single"/>
        </w:rPr>
        <w:t>Location</w:t>
      </w:r>
    </w:p>
    <w:p w:rsidR="00851031" w:rsidRDefault="00851031" w:rsidP="00851031">
      <w:r w:rsidRPr="00F11FDA">
        <w:t xml:space="preserve">Actions must take place in at least 2 </w:t>
      </w:r>
      <w:r>
        <w:t>M</w:t>
      </w:r>
      <w:r w:rsidRPr="00F11FDA">
        <w:t xml:space="preserve">ember </w:t>
      </w:r>
      <w:r>
        <w:t>S</w:t>
      </w:r>
      <w:r w:rsidRPr="00F11FDA">
        <w:t>tates of SADC region</w:t>
      </w:r>
      <w:r>
        <w:t xml:space="preserve">, except South Africa in accordance with </w:t>
      </w:r>
      <w:r w:rsidRPr="0067562A">
        <w:t xml:space="preserve">Article 4 (1) of Protocol 3 </w:t>
      </w:r>
      <w:r>
        <w:t xml:space="preserve">under the </w:t>
      </w:r>
      <w:proofErr w:type="spellStart"/>
      <w:r>
        <w:t>Cotonou</w:t>
      </w:r>
      <w:proofErr w:type="spellEnd"/>
      <w:r>
        <w:t xml:space="preserve"> Agreement, which </w:t>
      </w:r>
      <w:r w:rsidRPr="0067562A">
        <w:t xml:space="preserve">excludes South Africa as a beneficiary from EU Development Finance. </w:t>
      </w:r>
    </w:p>
    <w:p w:rsidR="00851031" w:rsidRPr="00065DB2" w:rsidRDefault="00851031" w:rsidP="00851031">
      <w:pPr>
        <w:rPr>
          <w:b/>
          <w:szCs w:val="22"/>
          <w:u w:val="single"/>
        </w:rPr>
      </w:pPr>
      <w:r w:rsidRPr="00065DB2">
        <w:rPr>
          <w:b/>
          <w:szCs w:val="22"/>
          <w:u w:val="single"/>
        </w:rPr>
        <w:t>Types of action</w:t>
      </w:r>
    </w:p>
    <w:p w:rsidR="00851031" w:rsidRPr="006F0DF8" w:rsidRDefault="00851031" w:rsidP="00851031">
      <w:pPr>
        <w:rPr>
          <w:szCs w:val="22"/>
        </w:rPr>
      </w:pPr>
      <w:r w:rsidRPr="006F0DF8">
        <w:rPr>
          <w:szCs w:val="22"/>
        </w:rPr>
        <w:t>Actions should be aligned to the themes/sectors listed above and will include:</w:t>
      </w:r>
    </w:p>
    <w:p w:rsidR="00851031" w:rsidRPr="006F0DF8" w:rsidRDefault="00851031" w:rsidP="00851031">
      <w:pPr>
        <w:numPr>
          <w:ilvl w:val="0"/>
          <w:numId w:val="34"/>
        </w:numPr>
        <w:rPr>
          <w:szCs w:val="22"/>
        </w:rPr>
      </w:pPr>
      <w:r w:rsidRPr="006F0DF8">
        <w:rPr>
          <w:szCs w:val="22"/>
        </w:rPr>
        <w:t>promoting renewable energy and energy-efficient technologies, studies, policies and programmes</w:t>
      </w:r>
    </w:p>
    <w:p w:rsidR="00851031" w:rsidRPr="006F0DF8" w:rsidRDefault="00851031" w:rsidP="00851031">
      <w:pPr>
        <w:numPr>
          <w:ilvl w:val="0"/>
          <w:numId w:val="34"/>
        </w:numPr>
        <w:rPr>
          <w:szCs w:val="22"/>
        </w:rPr>
      </w:pPr>
      <w:r w:rsidRPr="006F0DF8">
        <w:rPr>
          <w:szCs w:val="22"/>
        </w:rPr>
        <w:t>Promoting ecosystem-based adaptation through restoration or rehabilitation programmes and projects</w:t>
      </w:r>
    </w:p>
    <w:p w:rsidR="00851031" w:rsidRPr="006F0DF8" w:rsidRDefault="00851031" w:rsidP="00851031">
      <w:pPr>
        <w:numPr>
          <w:ilvl w:val="0"/>
          <w:numId w:val="34"/>
        </w:numPr>
        <w:rPr>
          <w:szCs w:val="22"/>
        </w:rPr>
      </w:pPr>
      <w:r w:rsidRPr="006F0DF8">
        <w:rPr>
          <w:szCs w:val="22"/>
        </w:rPr>
        <w:t>Supporting Climate Smart Agriculture practices and technologies</w:t>
      </w:r>
    </w:p>
    <w:p w:rsidR="00851031" w:rsidRPr="006F0DF8" w:rsidRDefault="00851031" w:rsidP="00851031">
      <w:pPr>
        <w:numPr>
          <w:ilvl w:val="0"/>
          <w:numId w:val="34"/>
        </w:numPr>
        <w:rPr>
          <w:szCs w:val="22"/>
        </w:rPr>
      </w:pPr>
      <w:r w:rsidRPr="006F0DF8">
        <w:rPr>
          <w:szCs w:val="22"/>
        </w:rPr>
        <w:t>Promoting Water, Energy and Food Security Nexus approach and increasing climate resilience in the water sector</w:t>
      </w:r>
    </w:p>
    <w:p w:rsidR="00851031" w:rsidRPr="00F11FDA" w:rsidRDefault="00851031" w:rsidP="00851031">
      <w:r w:rsidRPr="00F11FDA">
        <w:t>The following types of action are ineligible:</w:t>
      </w:r>
    </w:p>
    <w:p w:rsidR="00851031" w:rsidRPr="00F11FDA" w:rsidRDefault="00851031" w:rsidP="00851031">
      <w:pPr>
        <w:numPr>
          <w:ilvl w:val="0"/>
          <w:numId w:val="15"/>
        </w:numPr>
      </w:pPr>
      <w:r w:rsidRPr="00F11FDA">
        <w:t>actions concerned only or mainly with individual sponsorships for participation in workshops, seminars, conferences and congresses;</w:t>
      </w:r>
    </w:p>
    <w:p w:rsidR="00851031" w:rsidRPr="00F11FDA" w:rsidRDefault="00851031" w:rsidP="00851031">
      <w:pPr>
        <w:numPr>
          <w:ilvl w:val="0"/>
          <w:numId w:val="15"/>
        </w:numPr>
      </w:pPr>
      <w:proofErr w:type="gramStart"/>
      <w:r w:rsidRPr="00F11FDA">
        <w:t>actions</w:t>
      </w:r>
      <w:proofErr w:type="gramEnd"/>
      <w:r w:rsidRPr="00F11FDA">
        <w:t xml:space="preserve"> concerned only or mainly with individual scholarships for studies or training courses.</w:t>
      </w:r>
    </w:p>
    <w:p w:rsidR="00851031" w:rsidRPr="00065DB2" w:rsidRDefault="00851031" w:rsidP="00851031">
      <w:pPr>
        <w:rPr>
          <w:b/>
          <w:szCs w:val="22"/>
          <w:u w:val="single"/>
        </w:rPr>
      </w:pPr>
      <w:r w:rsidRPr="00065DB2">
        <w:rPr>
          <w:b/>
          <w:szCs w:val="22"/>
          <w:u w:val="single"/>
        </w:rPr>
        <w:t>Types of activity</w:t>
      </w:r>
    </w:p>
    <w:p w:rsidR="00851031" w:rsidRPr="001A24F9" w:rsidRDefault="00851031" w:rsidP="00851031">
      <w:pPr>
        <w:rPr>
          <w:szCs w:val="22"/>
        </w:rPr>
      </w:pPr>
      <w:r w:rsidRPr="001A24F9">
        <w:rPr>
          <w:szCs w:val="22"/>
        </w:rPr>
        <w:t>Activities should be aligned to the themes/sectors listed above and will include:</w:t>
      </w:r>
    </w:p>
    <w:p w:rsidR="00851031" w:rsidRPr="001A24F9" w:rsidRDefault="00851031" w:rsidP="00851031">
      <w:pPr>
        <w:numPr>
          <w:ilvl w:val="0"/>
          <w:numId w:val="33"/>
        </w:numPr>
        <w:rPr>
          <w:szCs w:val="22"/>
        </w:rPr>
      </w:pPr>
      <w:r w:rsidRPr="001A24F9">
        <w:rPr>
          <w:szCs w:val="22"/>
        </w:rPr>
        <w:t>baseline/feasibility studies</w:t>
      </w:r>
    </w:p>
    <w:p w:rsidR="00851031" w:rsidRPr="006F0DF8" w:rsidRDefault="00851031" w:rsidP="00851031">
      <w:pPr>
        <w:numPr>
          <w:ilvl w:val="0"/>
          <w:numId w:val="33"/>
        </w:numPr>
        <w:rPr>
          <w:szCs w:val="22"/>
        </w:rPr>
      </w:pPr>
      <w:r w:rsidRPr="006F0DF8">
        <w:rPr>
          <w:szCs w:val="22"/>
        </w:rPr>
        <w:t>project implementation on the ground</w:t>
      </w:r>
    </w:p>
    <w:p w:rsidR="00851031" w:rsidRPr="006F0DF8" w:rsidRDefault="00851031" w:rsidP="00851031">
      <w:pPr>
        <w:numPr>
          <w:ilvl w:val="0"/>
          <w:numId w:val="33"/>
        </w:numPr>
        <w:rPr>
          <w:szCs w:val="22"/>
        </w:rPr>
      </w:pPr>
      <w:r w:rsidRPr="006F0DF8">
        <w:rPr>
          <w:szCs w:val="22"/>
        </w:rPr>
        <w:t>training of participants</w:t>
      </w:r>
    </w:p>
    <w:p w:rsidR="00851031" w:rsidRPr="006F0DF8" w:rsidRDefault="00851031" w:rsidP="00851031">
      <w:pPr>
        <w:numPr>
          <w:ilvl w:val="0"/>
          <w:numId w:val="33"/>
        </w:numPr>
        <w:rPr>
          <w:szCs w:val="22"/>
        </w:rPr>
      </w:pPr>
      <w:r w:rsidRPr="006F0DF8">
        <w:rPr>
          <w:szCs w:val="22"/>
        </w:rPr>
        <w:t>monitoring and reporting of implementation</w:t>
      </w:r>
    </w:p>
    <w:p w:rsidR="00851031" w:rsidRPr="006F0DF8" w:rsidRDefault="00851031" w:rsidP="00851031">
      <w:pPr>
        <w:numPr>
          <w:ilvl w:val="0"/>
          <w:numId w:val="33"/>
        </w:numPr>
        <w:rPr>
          <w:szCs w:val="22"/>
        </w:rPr>
      </w:pPr>
      <w:r w:rsidRPr="006F0DF8">
        <w:rPr>
          <w:szCs w:val="22"/>
        </w:rPr>
        <w:t>knowledge creation, documentation and sharing of success stories</w:t>
      </w:r>
    </w:p>
    <w:p w:rsidR="00851031" w:rsidRPr="002747F7" w:rsidRDefault="00851031" w:rsidP="00851031">
      <w:pPr>
        <w:rPr>
          <w:b/>
          <w:szCs w:val="22"/>
          <w:u w:val="single"/>
        </w:rPr>
      </w:pPr>
      <w:r w:rsidRPr="002747F7">
        <w:rPr>
          <w:b/>
          <w:szCs w:val="22"/>
          <w:u w:val="single"/>
        </w:rPr>
        <w:t>Financial support to third parties</w:t>
      </w:r>
      <w:r w:rsidRPr="002747F7">
        <w:rPr>
          <w:rStyle w:val="FootnoteReference"/>
          <w:b/>
          <w:szCs w:val="22"/>
          <w:u w:val="single"/>
        </w:rPr>
        <w:footnoteReference w:id="2"/>
      </w:r>
      <w:r w:rsidRPr="002747F7">
        <w:rPr>
          <w:b/>
          <w:szCs w:val="22"/>
          <w:u w:val="single"/>
        </w:rPr>
        <w:t xml:space="preserve"> </w:t>
      </w:r>
    </w:p>
    <w:p w:rsidR="00851031" w:rsidRPr="00F11FDA" w:rsidRDefault="00851031" w:rsidP="00851031">
      <w:pPr>
        <w:rPr>
          <w:szCs w:val="22"/>
          <w:u w:val="single"/>
        </w:rPr>
      </w:pPr>
      <w:r w:rsidRPr="002747F7">
        <w:t>Applicants may not propose financial support to third parties.</w:t>
      </w:r>
    </w:p>
    <w:p w:rsidR="00851031" w:rsidRPr="002747F7" w:rsidRDefault="00851031" w:rsidP="00851031">
      <w:pPr>
        <w:keepNext/>
        <w:rPr>
          <w:b/>
          <w:szCs w:val="22"/>
          <w:u w:val="single"/>
        </w:rPr>
      </w:pPr>
      <w:r w:rsidRPr="002747F7">
        <w:rPr>
          <w:b/>
          <w:szCs w:val="22"/>
          <w:u w:val="single"/>
        </w:rPr>
        <w:t>Visibility</w:t>
      </w:r>
    </w:p>
    <w:p w:rsidR="00851031" w:rsidRDefault="00851031" w:rsidP="00851031">
      <w:r w:rsidRPr="00F11FDA">
        <w:t xml:space="preserve">The applicants must take all necessary steps to publicise the fact that the SADC Secretariat </w:t>
      </w:r>
      <w:r>
        <w:t xml:space="preserve">and EU </w:t>
      </w:r>
      <w:r w:rsidRPr="00F11FDA">
        <w:t>ha</w:t>
      </w:r>
      <w:r>
        <w:t>ve</w:t>
      </w:r>
      <w:r w:rsidRPr="00F11FDA">
        <w:t xml:space="preserve"> financed or co-financed the action. As far as possible, actions that are wholly or partially funded by the SADC Secretariat </w:t>
      </w:r>
      <w:r>
        <w:t xml:space="preserve">and the EU </w:t>
      </w:r>
      <w:r w:rsidRPr="00F11FDA">
        <w:t>must incorporate information and communication activities designed to raise the awareness of specific or general audiences of the reasons for the action and the SADC support for the action in the country or region concerned, as well as the results and the impact of this support.</w:t>
      </w:r>
    </w:p>
    <w:p w:rsidR="00851031" w:rsidRPr="0060510D" w:rsidRDefault="00851031" w:rsidP="00851031">
      <w:r w:rsidRPr="00807DAF">
        <w:t xml:space="preserve">Applicants must comply with the objectives and priorities and guarantee the visibility of the EU financing (see the Communication and Visibility Manual for EU external actions specified and published by the European Commission at </w:t>
      </w:r>
      <w:hyperlink r:id="rId12" w:history="1">
        <w:r w:rsidRPr="00FE3AC1">
          <w:rPr>
            <w:rStyle w:val="Hyperlink"/>
          </w:rPr>
          <w:t>http://ec.europa.eu/europeaid/funding/communication-and-visibility-manual-eu-external-actions_en</w:t>
        </w:r>
      </w:hyperlink>
      <w:r w:rsidRPr="00807DAF">
        <w:t>).</w:t>
      </w:r>
    </w:p>
    <w:p w:rsidR="00851031" w:rsidRPr="00F11FDA" w:rsidRDefault="00851031" w:rsidP="00851031"/>
    <w:p w:rsidR="00851031" w:rsidRPr="00F11FDA" w:rsidRDefault="00851031" w:rsidP="00851031">
      <w:pPr>
        <w:rPr>
          <w:u w:val="single"/>
        </w:rPr>
      </w:pPr>
      <w:r w:rsidRPr="00F11FDA">
        <w:rPr>
          <w:u w:val="single"/>
        </w:rPr>
        <w:t>Number of applications and grants per applicants / affiliated entities</w:t>
      </w:r>
    </w:p>
    <w:p w:rsidR="00851031" w:rsidRPr="00DA0BF1" w:rsidRDefault="00851031" w:rsidP="00851031">
      <w:r w:rsidRPr="00F11FDA">
        <w:t xml:space="preserve">The lead </w:t>
      </w:r>
      <w:r w:rsidRPr="00DA0BF1">
        <w:t>applicant may not submit more than two application(s) under this call for proposals.</w:t>
      </w:r>
    </w:p>
    <w:p w:rsidR="00851031" w:rsidRPr="00DA0BF1" w:rsidRDefault="00851031" w:rsidP="00851031">
      <w:r w:rsidRPr="001F3C3C">
        <w:t>The lead applicant may not be awarded more than one grant(s) under this call for proposals.</w:t>
      </w:r>
    </w:p>
    <w:p w:rsidR="00851031" w:rsidRDefault="00851031" w:rsidP="00851031">
      <w:r w:rsidRPr="00DA0BF1">
        <w:t>The lead applicant may not be a co-applicant or an affiliated entity in another application at the same time.</w:t>
      </w:r>
    </w:p>
    <w:p w:rsidR="00851031" w:rsidRPr="00807DAF" w:rsidRDefault="00851031" w:rsidP="00851031">
      <w:r w:rsidRPr="00807DAF">
        <w:t>A</w:t>
      </w:r>
      <w:r>
        <w:t xml:space="preserve"> co-applicant/affiliated entity </w:t>
      </w:r>
      <w:r w:rsidRPr="002C7F94">
        <w:t>may not</w:t>
      </w:r>
      <w:r>
        <w:t xml:space="preserve"> </w:t>
      </w:r>
      <w:r w:rsidRPr="00807DAF">
        <w:t>submit more than</w:t>
      </w:r>
      <w:r>
        <w:t xml:space="preserve"> </w:t>
      </w:r>
      <w:r>
        <w:rPr>
          <w:b/>
        </w:rPr>
        <w:t>2</w:t>
      </w:r>
      <w:r w:rsidRPr="00807DAF">
        <w:t xml:space="preserve"> </w:t>
      </w:r>
      <w:r w:rsidRPr="002C7F94">
        <w:rPr>
          <w:b/>
        </w:rPr>
        <w:t>(two)</w:t>
      </w:r>
      <w:r>
        <w:t xml:space="preserve"> </w:t>
      </w:r>
      <w:r w:rsidRPr="00807DAF">
        <w:t xml:space="preserve">application(s) under this </w:t>
      </w:r>
      <w:r>
        <w:t>c</w:t>
      </w:r>
      <w:r w:rsidRPr="00807DAF">
        <w:t xml:space="preserve">all for </w:t>
      </w:r>
      <w:r>
        <w:t>p</w:t>
      </w:r>
      <w:r w:rsidRPr="00807DAF">
        <w:t>roposals.</w:t>
      </w:r>
    </w:p>
    <w:p w:rsidR="00851031" w:rsidRDefault="00851031" w:rsidP="00851031">
      <w:r w:rsidRPr="00807DAF">
        <w:t xml:space="preserve">A co-applicant/affiliated entity </w:t>
      </w:r>
      <w:r w:rsidRPr="002C7F94">
        <w:t>may not</w:t>
      </w:r>
      <w:r>
        <w:t xml:space="preserve"> </w:t>
      </w:r>
      <w:r w:rsidRPr="00807DAF">
        <w:t xml:space="preserve">be awarded more than </w:t>
      </w:r>
      <w:r>
        <w:rPr>
          <w:b/>
        </w:rPr>
        <w:t>2</w:t>
      </w:r>
      <w:r w:rsidRPr="00807DAF">
        <w:t xml:space="preserve"> </w:t>
      </w:r>
      <w:r w:rsidRPr="002C7F94">
        <w:rPr>
          <w:b/>
        </w:rPr>
        <w:t>(two)</w:t>
      </w:r>
      <w:r>
        <w:t xml:space="preserve"> </w:t>
      </w:r>
      <w:r w:rsidRPr="00807DAF">
        <w:t xml:space="preserve">grant(s) under this </w:t>
      </w:r>
      <w:r>
        <w:t>c</w:t>
      </w:r>
      <w:r w:rsidRPr="00807DAF">
        <w:t xml:space="preserve">all for </w:t>
      </w:r>
      <w:r>
        <w:t>p</w:t>
      </w:r>
      <w:r w:rsidRPr="00807DAF">
        <w:t>roposals.</w:t>
      </w:r>
    </w:p>
    <w:p w:rsidR="00851031" w:rsidRPr="00F11FDA" w:rsidRDefault="00851031" w:rsidP="00851031"/>
    <w:p w:rsidR="00851031" w:rsidRPr="00F11FDA" w:rsidRDefault="00851031" w:rsidP="00851031">
      <w:pPr>
        <w:pStyle w:val="Guidelines3"/>
      </w:pPr>
      <w:bookmarkStart w:id="15" w:name="_Toc437893845"/>
      <w:r w:rsidRPr="00F11FDA">
        <w:t>Eligibility of costs: costs that can be included</w:t>
      </w:r>
      <w:bookmarkEnd w:id="15"/>
    </w:p>
    <w:p w:rsidR="00851031" w:rsidRPr="00F11FDA" w:rsidRDefault="00851031" w:rsidP="00851031">
      <w:pPr>
        <w:spacing w:before="240"/>
      </w:pPr>
      <w:r w:rsidRPr="00F11FDA">
        <w:t xml:space="preserve">Only ‘eligible costs’ can be covered by a grant. The categories of costs that are eligible and non-eligible are indicated below. The budget is both a cost estimate and an overall ceiling for ‘eligible costs’. </w:t>
      </w:r>
    </w:p>
    <w:p w:rsidR="00851031" w:rsidRPr="00F11FDA" w:rsidRDefault="00851031" w:rsidP="00851031">
      <w:r w:rsidRPr="00F11FDA">
        <w:t>The reimbursement of eligible costs may be based on any or a combination of the following forms:</w:t>
      </w:r>
    </w:p>
    <w:p w:rsidR="00851031" w:rsidRPr="00F11FDA" w:rsidRDefault="00851031" w:rsidP="00851031">
      <w:pPr>
        <w:numPr>
          <w:ilvl w:val="0"/>
          <w:numId w:val="16"/>
        </w:numPr>
      </w:pPr>
      <w:r>
        <w:t>A</w:t>
      </w:r>
      <w:r w:rsidRPr="00F11FDA">
        <w:t xml:space="preserve">ctual costs incurred by the </w:t>
      </w:r>
      <w:proofErr w:type="gramStart"/>
      <w:r w:rsidRPr="00F11FDA">
        <w:t>beneficiary(</w:t>
      </w:r>
      <w:proofErr w:type="spellStart"/>
      <w:proofErr w:type="gramEnd"/>
      <w:r w:rsidRPr="00F11FDA">
        <w:t>ies</w:t>
      </w:r>
      <w:proofErr w:type="spellEnd"/>
      <w:r w:rsidRPr="00F11FDA">
        <w:t>) and affiliated entity(</w:t>
      </w:r>
      <w:proofErr w:type="spellStart"/>
      <w:r w:rsidRPr="00F11FDA">
        <w:t>ies</w:t>
      </w:r>
      <w:proofErr w:type="spellEnd"/>
      <w:r w:rsidRPr="00F11FDA">
        <w:t>).</w:t>
      </w:r>
    </w:p>
    <w:p w:rsidR="00851031" w:rsidRPr="00FB1970" w:rsidRDefault="00851031" w:rsidP="00851031">
      <w:pPr>
        <w:pStyle w:val="ListParagraph"/>
        <w:numPr>
          <w:ilvl w:val="0"/>
          <w:numId w:val="16"/>
        </w:numPr>
      </w:pPr>
      <w:r w:rsidRPr="00865AE4">
        <w:t>One or more simplified cost options</w:t>
      </w:r>
    </w:p>
    <w:p w:rsidR="00851031" w:rsidRPr="00F43830" w:rsidRDefault="00851031" w:rsidP="00851031">
      <w:pPr>
        <w:ind w:left="65"/>
        <w:rPr>
          <w:b/>
        </w:rPr>
      </w:pPr>
      <w:r w:rsidRPr="00F11FDA">
        <w:t>Simplified cost options may take the form of:</w:t>
      </w:r>
    </w:p>
    <w:p w:rsidR="00851031" w:rsidRDefault="00851031" w:rsidP="00851031">
      <w:pPr>
        <w:numPr>
          <w:ilvl w:val="0"/>
          <w:numId w:val="17"/>
        </w:numPr>
      </w:pPr>
      <w:proofErr w:type="gramStart"/>
      <w:r w:rsidRPr="00F11FDA">
        <w:rPr>
          <w:b/>
        </w:rPr>
        <w:t>unit</w:t>
      </w:r>
      <w:proofErr w:type="gramEnd"/>
      <w:r w:rsidRPr="00F11FDA">
        <w:rPr>
          <w:b/>
        </w:rPr>
        <w:t xml:space="preserve"> costs:</w:t>
      </w:r>
      <w:r w:rsidRPr="00F11FDA">
        <w:t xml:space="preserve"> covering all or certain specific categories of eligible costs which are clearly identified in advance by reference to an </w:t>
      </w:r>
      <w:r w:rsidRPr="00F11FDA">
        <w:rPr>
          <w:u w:val="single"/>
        </w:rPr>
        <w:t>amount per unit</w:t>
      </w:r>
      <w:r w:rsidRPr="00F11FDA">
        <w:t>.</w:t>
      </w:r>
    </w:p>
    <w:p w:rsidR="00851031" w:rsidRPr="00865AE4" w:rsidRDefault="00851031" w:rsidP="00851031">
      <w:pPr>
        <w:numPr>
          <w:ilvl w:val="0"/>
          <w:numId w:val="17"/>
        </w:numPr>
      </w:pPr>
      <w:proofErr w:type="gramStart"/>
      <w:r w:rsidRPr="00865AE4">
        <w:rPr>
          <w:b/>
        </w:rPr>
        <w:t>lump</w:t>
      </w:r>
      <w:proofErr w:type="gramEnd"/>
      <w:r w:rsidRPr="00865AE4">
        <w:rPr>
          <w:b/>
        </w:rPr>
        <w:t xml:space="preserve"> sums: </w:t>
      </w:r>
      <w:r w:rsidRPr="00865AE4">
        <w:t xml:space="preserve">covering in </w:t>
      </w:r>
      <w:r w:rsidRPr="00865AE4">
        <w:rPr>
          <w:u w:val="single"/>
        </w:rPr>
        <w:t>global terms</w:t>
      </w:r>
      <w:r w:rsidRPr="00865AE4">
        <w:t xml:space="preserve"> all or certain specific categories of eligible costs which are clearly identified in advance.</w:t>
      </w:r>
    </w:p>
    <w:p w:rsidR="00851031" w:rsidRPr="00865AE4" w:rsidRDefault="00851031" w:rsidP="00851031">
      <w:pPr>
        <w:numPr>
          <w:ilvl w:val="0"/>
          <w:numId w:val="17"/>
        </w:numPr>
      </w:pPr>
      <w:proofErr w:type="gramStart"/>
      <w:r w:rsidRPr="00865AE4">
        <w:rPr>
          <w:b/>
        </w:rPr>
        <w:t>flat-rate</w:t>
      </w:r>
      <w:proofErr w:type="gramEnd"/>
      <w:r w:rsidRPr="00865AE4">
        <w:rPr>
          <w:b/>
        </w:rPr>
        <w:t xml:space="preserve"> financing: </w:t>
      </w:r>
      <w:r w:rsidRPr="00865AE4">
        <w:t xml:space="preserve">covering specific categories of eligible costs which are clearly identified in advance by </w:t>
      </w:r>
      <w:r w:rsidRPr="00865AE4">
        <w:rPr>
          <w:u w:val="single"/>
        </w:rPr>
        <w:t>applying a percentage</w:t>
      </w:r>
      <w:r w:rsidRPr="00865AE4">
        <w:t xml:space="preserve"> fixed ex ante.</w:t>
      </w:r>
    </w:p>
    <w:p w:rsidR="00851031" w:rsidRPr="00F11FDA" w:rsidRDefault="00851031" w:rsidP="00851031">
      <w:r w:rsidRPr="00F11FDA">
        <w:t xml:space="preserve">The amounts or rates have to be based on estimates using objective data such as statistical data or any other objective means or with reference to certified or auditable historical data of the applicants or the affiliated </w:t>
      </w:r>
      <w:proofErr w:type="gramStart"/>
      <w:r w:rsidRPr="00F11FDA">
        <w:t>entity(</w:t>
      </w:r>
      <w:proofErr w:type="spellStart"/>
      <w:proofErr w:type="gramEnd"/>
      <w:r w:rsidRPr="00F11FDA">
        <w:t>ies</w:t>
      </w:r>
      <w:proofErr w:type="spellEnd"/>
      <w:r w:rsidRPr="00F11FDA">
        <w:t xml:space="preserve">). The methods used to determine the amounts or rates of unit costs, lump sums or flat-rates must comply with the criteria established in Annex E, and especially ensure that the costs correspond fairly to the actual costs incurred by the </w:t>
      </w:r>
      <w:proofErr w:type="gramStart"/>
      <w:r w:rsidRPr="00F11FDA">
        <w:t>beneficiary(</w:t>
      </w:r>
      <w:proofErr w:type="spellStart"/>
      <w:proofErr w:type="gramEnd"/>
      <w:r w:rsidRPr="00F11FDA">
        <w:t>ies</w:t>
      </w:r>
      <w:proofErr w:type="spellEnd"/>
      <w:r w:rsidRPr="00F11FDA">
        <w:t>) and affiliated entity(</w:t>
      </w:r>
      <w:proofErr w:type="spellStart"/>
      <w:r w:rsidRPr="00F11FDA">
        <w:t>ies</w:t>
      </w:r>
      <w:proofErr w:type="spellEnd"/>
      <w:r w:rsidRPr="00F11FDA">
        <w:t>), are in line with their accounting practices, no profit is made and the costs are not already covered by other sources of funding (no double funding). Refer to Annex E for directions and a checklist of controls to assess the minimum necessary conditions that provide reasonable assurance for the acceptance of the proposed amounts.</w:t>
      </w:r>
    </w:p>
    <w:p w:rsidR="00851031" w:rsidRPr="00F11FDA" w:rsidRDefault="00851031" w:rsidP="00851031">
      <w:r w:rsidRPr="00F11FDA">
        <w:t xml:space="preserve">Applicants proposing this form of reimbursement, must clearly indicate in worksheet no.1 of Annex B, each heading/item of eligible costs concerned by this type of financing, i.e. add the reference in capital letters to "UNIT COST" (per month/flight </w:t>
      </w:r>
      <w:proofErr w:type="spellStart"/>
      <w:r w:rsidRPr="00F11FDA">
        <w:t>etc</w:t>
      </w:r>
      <w:proofErr w:type="spellEnd"/>
      <w:r w:rsidRPr="00F11FDA">
        <w:t>), "LUMPSUM", "FLAT RATE" in the Unit column. (</w:t>
      </w:r>
      <w:proofErr w:type="gramStart"/>
      <w:r w:rsidRPr="00F11FDA">
        <w:t>see</w:t>
      </w:r>
      <w:proofErr w:type="gramEnd"/>
      <w:r w:rsidRPr="00F11FDA">
        <w:t xml:space="preserve"> example in Annex E)</w:t>
      </w:r>
    </w:p>
    <w:p w:rsidR="00851031" w:rsidRPr="00F11FDA" w:rsidRDefault="00851031" w:rsidP="00851031">
      <w:r w:rsidRPr="00F11FDA">
        <w:t>Additionally in Annex B, in the second column of worksheet no.2, "Justification of the estimated costs" per each of the corresponding budget item or heading applicants must:</w:t>
      </w:r>
    </w:p>
    <w:p w:rsidR="00851031" w:rsidRPr="00F11FDA" w:rsidRDefault="00851031" w:rsidP="00851031">
      <w:pPr>
        <w:numPr>
          <w:ilvl w:val="0"/>
          <w:numId w:val="18"/>
        </w:numPr>
      </w:pPr>
      <w:proofErr w:type="gramStart"/>
      <w:r w:rsidRPr="00F11FDA">
        <w:t>describe</w:t>
      </w:r>
      <w:proofErr w:type="gramEnd"/>
      <w:r w:rsidRPr="00F11FDA">
        <w:t xml:space="preserve"> the information and methods used to establish the amounts of unit costs, lump sums and/or flat-rates, to which costs they refer, etc.</w:t>
      </w:r>
    </w:p>
    <w:p w:rsidR="00851031" w:rsidRPr="00F11FDA" w:rsidRDefault="00851031" w:rsidP="00851031">
      <w:pPr>
        <w:numPr>
          <w:ilvl w:val="0"/>
          <w:numId w:val="18"/>
        </w:numPr>
        <w:rPr>
          <w:bCs/>
        </w:rPr>
      </w:pPr>
      <w:r w:rsidRPr="00F11FDA">
        <w:t>clearly explain the formulas for calculation of the final eligible amount</w:t>
      </w:r>
      <w:r w:rsidRPr="00F11FDA">
        <w:rPr>
          <w:rStyle w:val="FootnoteReference"/>
        </w:rPr>
        <w:footnoteReference w:id="3"/>
      </w:r>
    </w:p>
    <w:p w:rsidR="00851031" w:rsidRPr="00F11FDA" w:rsidRDefault="00851031" w:rsidP="00851031">
      <w:pPr>
        <w:numPr>
          <w:ilvl w:val="0"/>
          <w:numId w:val="18"/>
        </w:numPr>
      </w:pPr>
      <w:r w:rsidRPr="00F11FDA">
        <w:t>identify the beneficiary who will use the simplified cost option (in case of affiliated entity, specify first the beneficiary), in order to verify the maximum amount per each beneficiary (which includes if applicable simplified cost options of its affiliated entity(</w:t>
      </w:r>
      <w:proofErr w:type="spellStart"/>
      <w:r w:rsidRPr="00F11FDA">
        <w:t>ies</w:t>
      </w:r>
      <w:proofErr w:type="spellEnd"/>
      <w:r w:rsidRPr="00F11FDA">
        <w:t>))</w:t>
      </w:r>
    </w:p>
    <w:p w:rsidR="00851031" w:rsidRPr="00F11FDA" w:rsidRDefault="00851031" w:rsidP="00851031">
      <w:r w:rsidRPr="00F11FDA">
        <w:t xml:space="preserve">At contracting phase, the Contracting Authority decides whether to accept the proposed amounts or rates on the basis of the provisional budget submitted by the applicants, by analysing factual data of grants carried out by the applicants or of similar actions and by performing checks established by Annex E. </w:t>
      </w:r>
    </w:p>
    <w:p w:rsidR="00851031" w:rsidRPr="00F11FDA" w:rsidRDefault="00851031" w:rsidP="00851031">
      <w:r w:rsidRPr="00F11FDA">
        <w:t xml:space="preserve">The total amount of financing on the basis of simplified cost options that can be authorised by the Contracting Authority for any of the applicants individually (including simplified cost options proposed by their own affiliated entities) cannot exceed </w:t>
      </w:r>
      <w:r w:rsidRPr="005733C2">
        <w:t>USD 30 000</w:t>
      </w:r>
      <w:r w:rsidRPr="00F11FDA">
        <w:t xml:space="preserve"> (the indirect costs are not taken into account).</w:t>
      </w:r>
      <w:r>
        <w:t xml:space="preserve"> </w:t>
      </w:r>
    </w:p>
    <w:p w:rsidR="00851031" w:rsidRPr="00F11FDA" w:rsidRDefault="00851031" w:rsidP="00851031">
      <w:r w:rsidRPr="00F11FDA">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SADC Secretariat co-financing as a result of these corrections.</w:t>
      </w:r>
    </w:p>
    <w:p w:rsidR="00851031" w:rsidRPr="00F11FDA" w:rsidRDefault="00851031" w:rsidP="00851031">
      <w:r w:rsidRPr="00F11FDA">
        <w:t xml:space="preserve">It is therefore in the applicants' interest to provide a </w:t>
      </w:r>
      <w:r w:rsidRPr="00F11FDA">
        <w:rPr>
          <w:b/>
        </w:rPr>
        <w:t>realistic and cost-effective budget</w:t>
      </w:r>
      <w:r w:rsidRPr="00F11FDA">
        <w:t>.</w:t>
      </w:r>
    </w:p>
    <w:p w:rsidR="00851031" w:rsidRPr="00F11FDA" w:rsidRDefault="00851031" w:rsidP="00851031">
      <w:pPr>
        <w:spacing w:before="120" w:after="120"/>
        <w:rPr>
          <w:snapToGrid/>
        </w:rPr>
      </w:pP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The simplified cost option may also take the form of an apportionment of Field Office's costs.</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 xml:space="preserve">Field Office means a local infrastructure set up in one of the countries where the action is implemented or a nearby country. (Where the action is implemented in several third countries there can be more than one Field Office). That may consist of costs for local office as well as human resources. </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A Field Office may be exclusively dedicated to the action financed (or co-financed) or may be used for other projects implemented in the partner country. When the Field Office is used for other projects, only the portion of capitalised and operating costs which corresponds to the duration of the action and the rate of actual use of the field office for the purpose of the action may be declared as eligible direct costs.</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 xml:space="preserve">The portion of costs attributable to the action can be declared as actual costs or determined by the </w:t>
      </w:r>
      <w:proofErr w:type="gramStart"/>
      <w:r w:rsidRPr="00F11FDA">
        <w:t>beneficiary(</w:t>
      </w:r>
      <w:proofErr w:type="spellStart"/>
      <w:proofErr w:type="gramEnd"/>
      <w:r w:rsidRPr="00F11FDA">
        <w:t>ies</w:t>
      </w:r>
      <w:proofErr w:type="spellEnd"/>
      <w:r w:rsidRPr="00F11FDA">
        <w:t>) on the basis of a simplified allocation method (apportionment).</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The method of allocation has to be:</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 xml:space="preserve">1. Compliant with the beneficiary's usual accounting and management practices and applied in a consistent manner regardless of the source of funding and </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2. Based on an objective, fair and reliable allocation keys. (Please refer to Annex F to have examples of acceptable allocation keys).</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 xml:space="preserve">The method will be assessed and accepted by the evaluation committee and the Contracting Authority at contracting phase. </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 xml:space="preserve">At the time of carrying out the expenditure verifications, the auditors may check if the costs reported are compliant with the method described by the </w:t>
      </w:r>
      <w:proofErr w:type="gramStart"/>
      <w:r w:rsidRPr="00F11FDA">
        <w:t>beneficiary(</w:t>
      </w:r>
      <w:proofErr w:type="spellStart"/>
      <w:proofErr w:type="gramEnd"/>
      <w:r w:rsidRPr="00F11FDA">
        <w:t>ies</w:t>
      </w:r>
      <w:proofErr w:type="spellEnd"/>
      <w:r w:rsidRPr="00F11FDA">
        <w:t>) and accepted by the Contracting Authority.</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 xml:space="preserve">Adequate record and documentation must be kept by the </w:t>
      </w:r>
      <w:proofErr w:type="gramStart"/>
      <w:r w:rsidRPr="00F11FDA">
        <w:t>beneficiary(</w:t>
      </w:r>
      <w:proofErr w:type="spellStart"/>
      <w:proofErr w:type="gramEnd"/>
      <w:r w:rsidRPr="00F11FDA">
        <w:t>ies</w:t>
      </w:r>
      <w:proofErr w:type="spellEnd"/>
      <w:r w:rsidRPr="00F11FDA">
        <w:t xml:space="preserve">) to prove the compliance of the simplified allocation method used with the conditions set out above. Upon request of the </w:t>
      </w:r>
      <w:proofErr w:type="gramStart"/>
      <w:r w:rsidRPr="00F11FDA">
        <w:t>beneficiary(</w:t>
      </w:r>
      <w:proofErr w:type="spellStart"/>
      <w:proofErr w:type="gramEnd"/>
      <w:r w:rsidRPr="00F11FDA">
        <w:t>ies</w:t>
      </w:r>
      <w:proofErr w:type="spellEnd"/>
      <w:r w:rsidRPr="00F11FDA">
        <w:t>), this compliance can be assessed and approved ex-ante by an independent external auditor. In such a case, the simplified allocation method will be automatically accepted by the evaluation committee and it will not be challenged ex post.</w:t>
      </w:r>
    </w:p>
    <w:p w:rsidR="00851031" w:rsidRPr="00F11FDA" w:rsidRDefault="00851031" w:rsidP="00851031">
      <w:pPr>
        <w:pBdr>
          <w:top w:val="single" w:sz="4" w:space="1" w:color="auto"/>
          <w:left w:val="single" w:sz="4" w:space="4" w:color="auto"/>
          <w:bottom w:val="single" w:sz="4" w:space="1" w:color="auto"/>
          <w:right w:val="single" w:sz="4" w:space="4" w:color="auto"/>
        </w:pBdr>
      </w:pPr>
      <w:r w:rsidRPr="00F11FDA">
        <w:t>When costs are declared on the basis of such allocation method the amount charged to the action is to be indicated in the column "TOTAL COSTS" and the mention "APPORTIONMENT" is to be indicated in the column "units" (under budget heading 1 (Human resources) and 4 (Local Office) of the Budget).</w:t>
      </w:r>
    </w:p>
    <w:p w:rsidR="00851031" w:rsidRPr="00F11FDA" w:rsidRDefault="00851031" w:rsidP="00851031">
      <w:pPr>
        <w:rPr>
          <w:u w:val="single"/>
        </w:rPr>
      </w:pPr>
      <w:r w:rsidRPr="00F11FDA">
        <w:rPr>
          <w:u w:val="single"/>
        </w:rPr>
        <w:t>Eligible direct costs</w:t>
      </w:r>
    </w:p>
    <w:p w:rsidR="00851031" w:rsidRPr="00F11FDA" w:rsidRDefault="00851031" w:rsidP="00851031">
      <w:r w:rsidRPr="00F11FDA">
        <w:t>To be eligible under this call for proposals, costs must comply with the provisions of Article 14 of the General Conditions to the standard grant contract (see Annex F of the guidelines).</w:t>
      </w:r>
    </w:p>
    <w:p w:rsidR="00851031" w:rsidRPr="00F11FDA" w:rsidRDefault="00851031" w:rsidP="00851031">
      <w:r w:rsidRPr="00F11FDA">
        <w:t xml:space="preserve">The applicants (and where applicable their affiliated entities) agree that the expenditure verification(s) referred to in Article 15.7 of the General Conditions to the standard grant contract (see Annex </w:t>
      </w:r>
      <w:r>
        <w:t>F</w:t>
      </w:r>
      <w:r w:rsidRPr="00F11FDA">
        <w:t xml:space="preserve"> of the guidelines) will be carried out by {the Contracting Authority or any external body authorised by the SADC Secretariat.</w:t>
      </w:r>
    </w:p>
    <w:p w:rsidR="00851031" w:rsidRPr="00F11FDA" w:rsidRDefault="00851031" w:rsidP="00851031">
      <w:r w:rsidRPr="00F11FDA">
        <w:t>Salary costs of the personnel of national administrations may be eligible to the extent that they relate to the cost of activities which the relevant public authority would not carry out if the action were not undertaken.</w:t>
      </w:r>
    </w:p>
    <w:p w:rsidR="00851031" w:rsidRPr="00F11FDA" w:rsidRDefault="00851031" w:rsidP="00851031">
      <w:pPr>
        <w:rPr>
          <w:u w:val="single"/>
        </w:rPr>
      </w:pPr>
      <w:r w:rsidRPr="00F11FDA">
        <w:rPr>
          <w:u w:val="single"/>
        </w:rPr>
        <w:t>Contingency reserve</w:t>
      </w:r>
    </w:p>
    <w:p w:rsidR="00851031" w:rsidRPr="00F11FDA" w:rsidRDefault="00851031" w:rsidP="00851031">
      <w:r w:rsidRPr="00F11FDA">
        <w:t>The budget may include a contingency reserve not exceeding 5</w:t>
      </w:r>
      <w:r w:rsidRPr="00F11FDA">
        <w:rPr>
          <w:w w:val="50"/>
        </w:rPr>
        <w:t> </w:t>
      </w:r>
      <w:r w:rsidRPr="00F11FDA">
        <w:t xml:space="preserve">% of the estimated direct eligible costs. It can only be used with the </w:t>
      </w:r>
      <w:r w:rsidRPr="00F11FDA">
        <w:rPr>
          <w:b/>
        </w:rPr>
        <w:t>prior written</w:t>
      </w:r>
      <w:r w:rsidRPr="00F11FDA">
        <w:t xml:space="preserve"> </w:t>
      </w:r>
      <w:r w:rsidRPr="00F11FDA">
        <w:rPr>
          <w:b/>
        </w:rPr>
        <w:t>authorisation</w:t>
      </w:r>
      <w:r w:rsidRPr="00F11FDA">
        <w:t xml:space="preserve"> of the Contracting Authority.</w:t>
      </w:r>
    </w:p>
    <w:p w:rsidR="00851031" w:rsidRPr="00F11FDA" w:rsidRDefault="00851031" w:rsidP="00851031">
      <w:pPr>
        <w:rPr>
          <w:u w:val="single"/>
        </w:rPr>
      </w:pPr>
      <w:r w:rsidRPr="00F11FDA">
        <w:rPr>
          <w:u w:val="single"/>
        </w:rPr>
        <w:t>Eligible indirect costs</w:t>
      </w:r>
    </w:p>
    <w:p w:rsidR="00851031" w:rsidRPr="00F11FDA" w:rsidRDefault="00851031" w:rsidP="00851031">
      <w:pPr>
        <w:rPr>
          <w:snapToGrid/>
          <w:lang w:eastAsia="en-GB" w:bidi="kn-IN"/>
        </w:rPr>
      </w:pPr>
      <w:r w:rsidRPr="00F11FDA">
        <w:rPr>
          <w:snapToGrid/>
          <w:lang w:eastAsia="en-GB" w:bidi="kn-IN"/>
        </w:rPr>
        <w:t>The indirect costs incurred in carrying out the action may be eligible for flat-rate funding, but the total must not exceed 7</w:t>
      </w:r>
      <w:r w:rsidRPr="00F11FDA">
        <w:rPr>
          <w:snapToGrid/>
          <w:w w:val="50"/>
          <w:lang w:eastAsia="en-GB" w:bidi="kn-IN"/>
        </w:rPr>
        <w:t> </w:t>
      </w:r>
      <w:r w:rsidRPr="00F11FDA">
        <w:rPr>
          <w:snapToGrid/>
          <w:lang w:eastAsia="en-GB" w:bidi="kn-IN"/>
        </w:rPr>
        <w:t>% of the estimated total eligible direct costs</w:t>
      </w:r>
      <w:r w:rsidRPr="00F11FDA">
        <w:rPr>
          <w:snapToGrid/>
          <w:sz w:val="20"/>
          <w:lang w:eastAsia="en-GB" w:bidi="kn-IN"/>
        </w:rPr>
        <w:t xml:space="preserve">. </w:t>
      </w:r>
      <w:r w:rsidRPr="00F11FDA">
        <w:rPr>
          <w:snapToGrid/>
          <w:lang w:eastAsia="en-GB" w:bidi="kn-IN"/>
        </w:rPr>
        <w:t>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rsidR="00851031" w:rsidRPr="00F11FDA" w:rsidRDefault="00851031" w:rsidP="00851031">
      <w:pPr>
        <w:rPr>
          <w:snapToGrid/>
          <w:lang w:eastAsia="en-GB" w:bidi="kn-IN"/>
        </w:rPr>
      </w:pPr>
      <w:r w:rsidRPr="00F11FDA">
        <w:rPr>
          <w:snapToGrid/>
          <w:lang w:eastAsia="en-GB" w:bidi="kn-IN"/>
        </w:rPr>
        <w:t xml:space="preserve">If any of the applicants or affiliated </w:t>
      </w:r>
      <w:proofErr w:type="gramStart"/>
      <w:r w:rsidRPr="00F11FDA">
        <w:rPr>
          <w:snapToGrid/>
          <w:lang w:eastAsia="en-GB" w:bidi="kn-IN"/>
        </w:rPr>
        <w:t>entity(</w:t>
      </w:r>
      <w:proofErr w:type="spellStart"/>
      <w:proofErr w:type="gramEnd"/>
      <w:r w:rsidRPr="00F11FDA">
        <w:rPr>
          <w:snapToGrid/>
          <w:lang w:eastAsia="en-GB" w:bidi="kn-IN"/>
        </w:rPr>
        <w:t>ies</w:t>
      </w:r>
      <w:proofErr w:type="spellEnd"/>
      <w:r w:rsidRPr="00F11FDA">
        <w:rPr>
          <w:snapToGrid/>
          <w:lang w:eastAsia="en-GB" w:bidi="kn-IN"/>
        </w:rPr>
        <w:t>) is in receipt of an operating grant financed by the SADC Secretariat, it may not claim indirect costs on its incurred costs</w:t>
      </w:r>
      <w:r w:rsidRPr="00F11FDA">
        <w:rPr>
          <w:snapToGrid/>
          <w:sz w:val="20"/>
          <w:lang w:eastAsia="en-GB" w:bidi="kn-IN"/>
        </w:rPr>
        <w:t xml:space="preserve"> </w:t>
      </w:r>
      <w:r w:rsidRPr="00F11FDA">
        <w:rPr>
          <w:snapToGrid/>
          <w:lang w:eastAsia="en-GB" w:bidi="kn-IN"/>
        </w:rPr>
        <w:t>within the proposed budget for the action.</w:t>
      </w:r>
    </w:p>
    <w:p w:rsidR="00851031" w:rsidRPr="00F11FDA" w:rsidRDefault="00851031" w:rsidP="00851031">
      <w:pPr>
        <w:rPr>
          <w:u w:val="single"/>
        </w:rPr>
      </w:pPr>
      <w:r w:rsidRPr="00F11FDA">
        <w:rPr>
          <w:u w:val="single"/>
        </w:rPr>
        <w:t>Contributions in kind</w:t>
      </w:r>
    </w:p>
    <w:p w:rsidR="00851031" w:rsidRPr="00F11FDA" w:rsidRDefault="00851031" w:rsidP="00851031">
      <w:r w:rsidRPr="00F11FDA">
        <w:t xml:space="preserve">Contributions in kind mean the provision of goods or services to beneficiaries or </w:t>
      </w:r>
      <w:r w:rsidRPr="00F11FDA">
        <w:rPr>
          <w:snapToGrid/>
          <w:lang w:eastAsia="en-GB" w:bidi="kn-IN"/>
        </w:rPr>
        <w:t xml:space="preserve">affiliated entities </w:t>
      </w:r>
      <w:r w:rsidRPr="00F11FDA">
        <w:t xml:space="preserve">free of charge by a third party. As contributions in kind do not involve any expenditure for beneficiaries </w:t>
      </w:r>
      <w:r w:rsidRPr="00F11FDA">
        <w:rPr>
          <w:snapToGrid/>
          <w:lang w:eastAsia="en-GB" w:bidi="kn-IN"/>
        </w:rPr>
        <w:t>or affiliated entities</w:t>
      </w:r>
      <w:r w:rsidRPr="00F11FDA">
        <w:t xml:space="preserve">, they are not eligible costs. </w:t>
      </w:r>
    </w:p>
    <w:p w:rsidR="00851031" w:rsidRPr="00F11FDA" w:rsidRDefault="00851031" w:rsidP="00851031">
      <w:r w:rsidRPr="00F11FDA">
        <w:t>Contributions in kind may not be treated as co-financing</w:t>
      </w:r>
    </w:p>
    <w:p w:rsidR="00851031" w:rsidRPr="00F11FDA" w:rsidRDefault="00851031" w:rsidP="00851031">
      <w:pPr>
        <w:rPr>
          <w:u w:val="single"/>
        </w:rPr>
      </w:pPr>
      <w:r w:rsidRPr="00F11FDA">
        <w:rPr>
          <w:u w:val="single"/>
        </w:rPr>
        <w:t>Ineligible costs</w:t>
      </w:r>
    </w:p>
    <w:p w:rsidR="00851031" w:rsidRPr="00F11FDA" w:rsidRDefault="00851031" w:rsidP="00851031">
      <w:r w:rsidRPr="00F11FDA">
        <w:t>The following costs are not eligible:</w:t>
      </w:r>
    </w:p>
    <w:p w:rsidR="00851031" w:rsidRPr="00F11FDA" w:rsidRDefault="00851031" w:rsidP="00851031">
      <w:pPr>
        <w:numPr>
          <w:ilvl w:val="0"/>
          <w:numId w:val="19"/>
        </w:numPr>
      </w:pPr>
      <w:r w:rsidRPr="00F11FDA">
        <w:t>debts and debt service charges (interest);</w:t>
      </w:r>
    </w:p>
    <w:p w:rsidR="00851031" w:rsidRPr="00F11FDA" w:rsidRDefault="00851031" w:rsidP="00851031">
      <w:pPr>
        <w:numPr>
          <w:ilvl w:val="0"/>
          <w:numId w:val="19"/>
        </w:numPr>
      </w:pPr>
      <w:r w:rsidRPr="00F11FDA">
        <w:t>provisions for losses or potential future liabilities;</w:t>
      </w:r>
    </w:p>
    <w:p w:rsidR="00851031" w:rsidRPr="00F11FDA" w:rsidRDefault="00851031" w:rsidP="00851031">
      <w:pPr>
        <w:numPr>
          <w:ilvl w:val="0"/>
          <w:numId w:val="19"/>
        </w:numPr>
      </w:pPr>
      <w:r w:rsidRPr="00F11FDA">
        <w:t>costs declared by the beneficiary(</w:t>
      </w:r>
      <w:proofErr w:type="spellStart"/>
      <w:r w:rsidRPr="00F11FDA">
        <w:t>ies</w:t>
      </w:r>
      <w:proofErr w:type="spellEnd"/>
      <w:r w:rsidRPr="00F11FDA">
        <w:t>) and financed by another action or work programme receiving a SADC Secretariat grant;</w:t>
      </w:r>
    </w:p>
    <w:p w:rsidR="00851031" w:rsidRPr="00F11FDA" w:rsidRDefault="00851031" w:rsidP="00851031">
      <w:pPr>
        <w:numPr>
          <w:ilvl w:val="0"/>
          <w:numId w:val="19"/>
        </w:numPr>
      </w:pPr>
      <w:r w:rsidRPr="00F11FDA">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rsidR="00851031" w:rsidRPr="00F11FDA" w:rsidRDefault="00851031" w:rsidP="00851031">
      <w:pPr>
        <w:numPr>
          <w:ilvl w:val="0"/>
          <w:numId w:val="19"/>
        </w:numPr>
      </w:pPr>
      <w:r w:rsidRPr="00F11FDA">
        <w:t>currency exchange losses;</w:t>
      </w:r>
    </w:p>
    <w:p w:rsidR="00851031" w:rsidRPr="00F11FDA" w:rsidRDefault="00851031" w:rsidP="00851031">
      <w:pPr>
        <w:pStyle w:val="ListParagraph"/>
        <w:numPr>
          <w:ilvl w:val="0"/>
          <w:numId w:val="19"/>
        </w:numPr>
        <w:tabs>
          <w:tab w:val="left" w:pos="426"/>
        </w:tabs>
        <w:jc w:val="both"/>
        <w:rPr>
          <w:sz w:val="22"/>
          <w:szCs w:val="22"/>
        </w:rPr>
      </w:pPr>
      <w:r w:rsidRPr="00F11FDA">
        <w:rPr>
          <w:sz w:val="22"/>
          <w:szCs w:val="22"/>
        </w:rPr>
        <w:t xml:space="preserve">taxes, including VAT, unless the Beneficiary (or, where applicable, its partners) can show it cannot reclaim and the applicable regulations do not exclude coverage of taxes; </w:t>
      </w:r>
    </w:p>
    <w:p w:rsidR="00851031" w:rsidRDefault="00851031" w:rsidP="00851031">
      <w:pPr>
        <w:numPr>
          <w:ilvl w:val="0"/>
          <w:numId w:val="19"/>
        </w:numPr>
      </w:pPr>
      <w:proofErr w:type="gramStart"/>
      <w:r w:rsidRPr="00F11FDA">
        <w:t>credit</w:t>
      </w:r>
      <w:proofErr w:type="gramEnd"/>
      <w:r w:rsidRPr="00F11FDA">
        <w:t xml:space="preserve"> to third parties. </w:t>
      </w:r>
    </w:p>
    <w:p w:rsidR="00851031" w:rsidRPr="00F11FDA" w:rsidRDefault="00851031" w:rsidP="00851031">
      <w:pPr>
        <w:numPr>
          <w:ilvl w:val="0"/>
          <w:numId w:val="19"/>
        </w:numPr>
      </w:pPr>
      <w:r w:rsidRPr="003E4743">
        <w:t>salary costs of the personnel of national administrations</w:t>
      </w:r>
    </w:p>
    <w:p w:rsidR="00851031" w:rsidRPr="00F11FDA" w:rsidRDefault="00851031" w:rsidP="00851031">
      <w:pPr>
        <w:ind w:left="720"/>
        <w:rPr>
          <w:u w:val="single"/>
        </w:rPr>
      </w:pPr>
      <w:r w:rsidRPr="00F11FDA">
        <w:rPr>
          <w:u w:val="single"/>
        </w:rPr>
        <w:t>Disbursement of funds</w:t>
      </w:r>
    </w:p>
    <w:p w:rsidR="00851031" w:rsidRPr="00F11FDA" w:rsidRDefault="00851031" w:rsidP="00851031">
      <w:pPr>
        <w:ind w:left="720"/>
      </w:pPr>
      <w:r w:rsidRPr="00F11FDA">
        <w:t xml:space="preserve">Financial management of the project shall be within the existing SADC Secretariat institutional financial arrangements. </w:t>
      </w:r>
      <w:r w:rsidRPr="00C046D4">
        <w:t>Within the administrative rules, Member States can agree on mechanisms to expedite disbursements of Funds. Disbursements of Funds to the project shall be in tranches such that the first disbursement does not exceed 25% of the total amount of the project Funding. 75% of any previous disbursement</w:t>
      </w:r>
      <w:r w:rsidRPr="00F11FDA">
        <w:t xml:space="preserve"> must be cleared before the next disbursement is </w:t>
      </w:r>
      <w:proofErr w:type="spellStart"/>
      <w:r w:rsidRPr="00F11FDA">
        <w:t>effected</w:t>
      </w:r>
      <w:proofErr w:type="spellEnd"/>
      <w:r w:rsidRPr="00F11FDA">
        <w:t>. A clear detailed financial and technical report must be submitted as part of the application for any subsequent disbursements, according to the Guidelines of the Implementation of the Projects which will be part and parcel of the agreement to be signed.</w:t>
      </w:r>
    </w:p>
    <w:p w:rsidR="00851031" w:rsidRPr="00F11FDA" w:rsidRDefault="00851031" w:rsidP="00851031">
      <w:pPr>
        <w:keepNext/>
        <w:spacing w:before="120" w:after="120"/>
        <w:rPr>
          <w:b/>
          <w:sz w:val="24"/>
          <w:szCs w:val="24"/>
        </w:rPr>
      </w:pPr>
      <w:r w:rsidRPr="00F11FDA">
        <w:rPr>
          <w:b/>
          <w:sz w:val="24"/>
          <w:szCs w:val="24"/>
        </w:rPr>
        <w:t>Ethics clauses and Code of Conduct</w:t>
      </w:r>
    </w:p>
    <w:p w:rsidR="00851031" w:rsidRPr="00F11FDA" w:rsidRDefault="00851031" w:rsidP="00851031">
      <w:pPr>
        <w:keepNext/>
        <w:spacing w:before="120" w:after="120"/>
        <w:rPr>
          <w:szCs w:val="22"/>
          <w:u w:val="single"/>
        </w:rPr>
      </w:pPr>
      <w:r w:rsidRPr="00F11FDA">
        <w:rPr>
          <w:szCs w:val="22"/>
          <w:u w:val="single"/>
        </w:rPr>
        <w:t>a) Absence of conflict of interest</w:t>
      </w:r>
    </w:p>
    <w:p w:rsidR="00851031" w:rsidRPr="00F11FDA" w:rsidRDefault="00851031" w:rsidP="00851031">
      <w:pPr>
        <w:keepNext/>
        <w:spacing w:before="120" w:after="120"/>
        <w:rPr>
          <w:szCs w:val="22"/>
        </w:rPr>
      </w:pPr>
      <w:r w:rsidRPr="00F11FDA">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w:t>
      </w:r>
    </w:p>
    <w:p w:rsidR="00851031" w:rsidRPr="00F11FDA" w:rsidRDefault="00851031" w:rsidP="00851031">
      <w:pPr>
        <w:keepNext/>
        <w:spacing w:before="120" w:after="120"/>
        <w:rPr>
          <w:szCs w:val="22"/>
        </w:rPr>
      </w:pPr>
      <w:r w:rsidRPr="00F11FDA">
        <w:rPr>
          <w:szCs w:val="22"/>
        </w:rPr>
        <w:t xml:space="preserve">b) </w:t>
      </w:r>
      <w:r w:rsidRPr="00F11FDA">
        <w:rPr>
          <w:szCs w:val="22"/>
          <w:u w:val="single"/>
        </w:rPr>
        <w:t>Respect for human rights as well as environmental legislation and core labour standards</w:t>
      </w:r>
      <w:r w:rsidRPr="00F11FDA">
        <w:rPr>
          <w:szCs w:val="22"/>
        </w:rPr>
        <w:t xml:space="preserve"> </w:t>
      </w:r>
    </w:p>
    <w:p w:rsidR="00851031" w:rsidRPr="00F11FDA" w:rsidRDefault="00851031" w:rsidP="00851031">
      <w:pPr>
        <w:keepNext/>
        <w:spacing w:before="120" w:after="120"/>
        <w:rPr>
          <w:szCs w:val="22"/>
        </w:rPr>
      </w:pPr>
      <w:r w:rsidRPr="00F11FDA">
        <w:rPr>
          <w:szCs w:val="22"/>
        </w:rPr>
        <w:t>The applicant and its staff must comply with human rights. In particular and in accordance with the applicable act,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851031" w:rsidRPr="00F11FDA" w:rsidRDefault="00851031" w:rsidP="00851031">
      <w:pPr>
        <w:keepNext/>
        <w:pBdr>
          <w:top w:val="single" w:sz="4" w:space="0" w:color="auto"/>
          <w:left w:val="single" w:sz="4" w:space="0" w:color="auto"/>
          <w:bottom w:val="single" w:sz="4" w:space="1" w:color="auto"/>
          <w:right w:val="single" w:sz="4" w:space="4" w:color="auto"/>
        </w:pBdr>
        <w:spacing w:before="120" w:after="120"/>
        <w:rPr>
          <w:b/>
          <w:szCs w:val="22"/>
        </w:rPr>
      </w:pPr>
      <w:r w:rsidRPr="00F11FDA">
        <w:rPr>
          <w:b/>
          <w:szCs w:val="22"/>
        </w:rPr>
        <w:t>Zero tolerance for sexual exploitation and sexual abuse:</w:t>
      </w:r>
    </w:p>
    <w:p w:rsidR="00851031" w:rsidRPr="00F11FDA" w:rsidRDefault="00851031" w:rsidP="00851031">
      <w:pPr>
        <w:keepNext/>
        <w:pBdr>
          <w:top w:val="single" w:sz="4" w:space="0" w:color="auto"/>
          <w:left w:val="single" w:sz="4" w:space="0" w:color="auto"/>
          <w:bottom w:val="single" w:sz="4" w:space="1" w:color="auto"/>
          <w:right w:val="single" w:sz="4" w:space="4" w:color="auto"/>
        </w:pBdr>
        <w:spacing w:before="120" w:after="120"/>
        <w:rPr>
          <w:szCs w:val="22"/>
        </w:rPr>
      </w:pPr>
      <w:r w:rsidRPr="00F11FDA">
        <w:rPr>
          <w:szCs w:val="22"/>
        </w:rPr>
        <w:t xml:space="preserve">SADC applies a policy of 'zero tolerance' in relation to all wrongful conduct which has an impact on the professional credibility of the applicant.  </w:t>
      </w:r>
    </w:p>
    <w:p w:rsidR="00851031" w:rsidRPr="00F11FDA" w:rsidRDefault="00851031" w:rsidP="00851031">
      <w:pPr>
        <w:keepNext/>
        <w:pBdr>
          <w:top w:val="single" w:sz="4" w:space="0" w:color="auto"/>
          <w:left w:val="single" w:sz="4" w:space="0" w:color="auto"/>
          <w:bottom w:val="single" w:sz="4" w:space="1" w:color="auto"/>
          <w:right w:val="single" w:sz="4" w:space="4" w:color="auto"/>
        </w:pBdr>
        <w:spacing w:before="120" w:after="120"/>
        <w:rPr>
          <w:szCs w:val="22"/>
        </w:rPr>
      </w:pPr>
      <w:r w:rsidRPr="00F11FDA">
        <w:rPr>
          <w:szCs w:val="22"/>
        </w:rPr>
        <w:t xml:space="preserve">Physical abuse or punishment, or threats of physical abuse, sexual abuse or exploitation, harassment and verbal abuse, as well as other forms of intimidation shall be prohibited. </w:t>
      </w:r>
    </w:p>
    <w:p w:rsidR="00851031" w:rsidRPr="00F11FDA" w:rsidRDefault="00851031" w:rsidP="00851031">
      <w:pPr>
        <w:rPr>
          <w:szCs w:val="22"/>
        </w:rPr>
      </w:pPr>
      <w:r w:rsidRPr="00F11FDA">
        <w:rPr>
          <w:szCs w:val="22"/>
          <w:u w:val="single"/>
        </w:rPr>
        <w:t>c) Anti-corruption and anti-bribery</w:t>
      </w:r>
      <w:r w:rsidRPr="00F11FDA">
        <w:rPr>
          <w:szCs w:val="22"/>
        </w:rPr>
        <w:t xml:space="preserve"> </w:t>
      </w:r>
    </w:p>
    <w:p w:rsidR="00851031" w:rsidRPr="00F11FDA" w:rsidRDefault="00851031" w:rsidP="00851031">
      <w:pPr>
        <w:rPr>
          <w:szCs w:val="22"/>
        </w:rPr>
      </w:pPr>
      <w:r w:rsidRPr="00F11FDA">
        <w:rPr>
          <w:szCs w:val="22"/>
        </w:rPr>
        <w:t>The applicant shall comply with all applicable laws and regulations and codes relating to anti-bribery and anti-corruption. SADC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851031" w:rsidRPr="00F11FDA" w:rsidRDefault="00851031" w:rsidP="00851031">
      <w:pPr>
        <w:spacing w:before="120" w:after="120"/>
        <w:rPr>
          <w:szCs w:val="22"/>
        </w:rPr>
      </w:pPr>
      <w:r w:rsidRPr="00F11FDA">
        <w:rPr>
          <w:szCs w:val="22"/>
        </w:rPr>
        <w:t xml:space="preserve">d)  </w:t>
      </w:r>
      <w:r w:rsidRPr="00F11FDA">
        <w:rPr>
          <w:szCs w:val="22"/>
          <w:u w:val="single"/>
        </w:rPr>
        <w:t>Unusual commercial expenses</w:t>
      </w:r>
      <w:r w:rsidRPr="00F11FDA">
        <w:rPr>
          <w:szCs w:val="22"/>
        </w:rPr>
        <w:t xml:space="preserve"> </w:t>
      </w:r>
    </w:p>
    <w:p w:rsidR="00851031" w:rsidRPr="00F11FDA" w:rsidRDefault="00851031" w:rsidP="00851031">
      <w:pPr>
        <w:spacing w:before="120" w:after="120"/>
        <w:rPr>
          <w:szCs w:val="22"/>
        </w:rPr>
      </w:pPr>
      <w:r w:rsidRPr="00F11FDA">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851031" w:rsidRPr="00F11FDA" w:rsidRDefault="00851031" w:rsidP="00851031">
      <w:pPr>
        <w:spacing w:before="120" w:after="120"/>
        <w:rPr>
          <w:szCs w:val="22"/>
        </w:rPr>
      </w:pPr>
      <w:r w:rsidRPr="00F11FDA">
        <w:rPr>
          <w:szCs w:val="22"/>
        </w:rPr>
        <w:t>Grant beneficiaries found to have paid unusual commercial expenses on projects funded by SADC/ European Union are liable, depending on the seriousness of the facts observed, to have their contracts terminated or to be permanently excluded from receiving further funds.</w:t>
      </w:r>
    </w:p>
    <w:p w:rsidR="00851031" w:rsidRPr="00F11FDA" w:rsidRDefault="00851031" w:rsidP="00851031">
      <w:pPr>
        <w:spacing w:before="120" w:after="120"/>
        <w:rPr>
          <w:szCs w:val="22"/>
          <w:u w:val="single"/>
        </w:rPr>
      </w:pPr>
      <w:r w:rsidRPr="00F11FDA">
        <w:rPr>
          <w:szCs w:val="22"/>
        </w:rPr>
        <w:t xml:space="preserve">e) </w:t>
      </w:r>
      <w:r w:rsidRPr="00F11FDA">
        <w:rPr>
          <w:szCs w:val="22"/>
          <w:u w:val="single"/>
        </w:rPr>
        <w:t>Breach of obligations, irregularities or fraud</w:t>
      </w:r>
    </w:p>
    <w:p w:rsidR="00851031" w:rsidRPr="00F11FDA" w:rsidRDefault="00851031" w:rsidP="00851031">
      <w:pPr>
        <w:spacing w:before="120" w:after="120"/>
        <w:rPr>
          <w:szCs w:val="22"/>
        </w:rPr>
      </w:pPr>
      <w:r w:rsidRPr="00F11FDA">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851031" w:rsidRPr="00F11FDA" w:rsidRDefault="00851031" w:rsidP="00851031">
      <w:pPr>
        <w:ind w:left="720"/>
      </w:pPr>
    </w:p>
    <w:p w:rsidR="00851031" w:rsidRPr="00F11FDA" w:rsidRDefault="00851031" w:rsidP="00851031">
      <w:pPr>
        <w:pStyle w:val="Guidelines2"/>
      </w:pPr>
      <w:bookmarkStart w:id="16" w:name="_Toc437893846"/>
      <w:r w:rsidRPr="00F11FDA">
        <w:t>How to apply and the procedures to follow</w:t>
      </w:r>
      <w:bookmarkEnd w:id="16"/>
    </w:p>
    <w:p w:rsidR="00851031" w:rsidRPr="00F11FDA" w:rsidRDefault="00851031" w:rsidP="00851031">
      <w:pPr>
        <w:pStyle w:val="Guidelines3"/>
        <w:numPr>
          <w:ilvl w:val="2"/>
          <w:numId w:val="20"/>
        </w:numPr>
      </w:pPr>
      <w:bookmarkStart w:id="17" w:name="_Toc34808647"/>
      <w:r w:rsidRPr="00F11FDA">
        <w:t>Application forms</w:t>
      </w:r>
      <w:bookmarkEnd w:id="17"/>
      <w:r w:rsidRPr="00F11FDA">
        <w:t xml:space="preserve">  </w:t>
      </w:r>
    </w:p>
    <w:p w:rsidR="00851031" w:rsidRPr="00F11FDA" w:rsidRDefault="00851031" w:rsidP="00851031">
      <w:pPr>
        <w:spacing w:before="240"/>
      </w:pPr>
      <w:r w:rsidRPr="00F11FDA">
        <w:t xml:space="preserve">Applications must be submitted in accordance with the instructions on the concept note and the full applications in the grant application form annexed to these guidelines (Annex A). </w:t>
      </w:r>
    </w:p>
    <w:p w:rsidR="00851031" w:rsidRPr="00F11FDA" w:rsidRDefault="00851031" w:rsidP="00851031">
      <w:r w:rsidRPr="00F11FDA">
        <w:t>Applicants must apply in English.</w:t>
      </w:r>
    </w:p>
    <w:p w:rsidR="00851031" w:rsidRPr="00F11FDA" w:rsidRDefault="00851031" w:rsidP="00851031">
      <w:r w:rsidRPr="00F11FDA">
        <w:t>Any error or major discrepancy related to the points listed in the instructions on the concept note or any major inconsistency in the application e.g. if the amounts in the budget worksheets are inconsistent) may lead to the rejection of the application.</w:t>
      </w:r>
    </w:p>
    <w:p w:rsidR="00851031" w:rsidRPr="00F11FDA" w:rsidRDefault="00851031" w:rsidP="00851031">
      <w:r w:rsidRPr="00F11FDA">
        <w:t>Clarifications will only be requested when the information provided is unclear and thus prevents the Contracting Authority from conducting an objective assessment.</w:t>
      </w:r>
    </w:p>
    <w:p w:rsidR="00851031" w:rsidRPr="00F11FDA" w:rsidRDefault="00851031" w:rsidP="00851031">
      <w:r w:rsidRPr="00F11FDA">
        <w:t>Hand-written applications will not be accepted.</w:t>
      </w:r>
    </w:p>
    <w:p w:rsidR="00851031" w:rsidRPr="00F11FDA" w:rsidRDefault="00851031" w:rsidP="00851031">
      <w:pPr>
        <w:rPr>
          <w:bCs/>
          <w:snapToGrid/>
          <w:lang w:eastAsia="en-GB"/>
        </w:rPr>
      </w:pPr>
      <w:r w:rsidRPr="00F11FDA">
        <w:rPr>
          <w:snapToGrid/>
          <w:lang w:eastAsia="en-GB"/>
        </w:rPr>
        <w:t>Please note that only the grant application form and the published annexes which have to be filled in (budget, logical framework) will be evaluated. It is therefore of utmost importance that these documents contain ALL the relevant information concerning the action.</w:t>
      </w:r>
      <w:r w:rsidRPr="00F11FDA">
        <w:rPr>
          <w:b/>
          <w:snapToGrid/>
          <w:lang w:eastAsia="en-GB"/>
        </w:rPr>
        <w:t xml:space="preserve"> </w:t>
      </w:r>
      <w:r w:rsidRPr="00F11FDA">
        <w:rPr>
          <w:bCs/>
          <w:snapToGrid/>
          <w:lang w:eastAsia="en-GB"/>
        </w:rPr>
        <w:t>No additional annexes should be sent.</w:t>
      </w:r>
    </w:p>
    <w:p w:rsidR="00851031" w:rsidRPr="00F11FDA" w:rsidRDefault="00851031" w:rsidP="00851031">
      <w:pPr>
        <w:pStyle w:val="Guidelines3"/>
      </w:pPr>
      <w:bookmarkStart w:id="18" w:name="_Toc34808648"/>
      <w:r w:rsidRPr="00F11FDA">
        <w:t>Where and how to send applications</w:t>
      </w:r>
      <w:bookmarkEnd w:id="18"/>
    </w:p>
    <w:p w:rsidR="00851031" w:rsidRPr="0062522D" w:rsidRDefault="00851031" w:rsidP="00851031">
      <w:pPr>
        <w:spacing w:before="240"/>
        <w:rPr>
          <w:snapToGrid/>
          <w:lang w:eastAsia="en-GB"/>
        </w:rPr>
      </w:pPr>
      <w:r w:rsidRPr="0062522D">
        <w:rPr>
          <w:snapToGrid/>
          <w:lang w:eastAsia="en-GB"/>
        </w:rPr>
        <w:t xml:space="preserve">Applications must be submitted in one original </w:t>
      </w:r>
      <w:r>
        <w:rPr>
          <w:snapToGrid/>
          <w:lang w:eastAsia="en-GB"/>
        </w:rPr>
        <w:t>scanned version, t</w:t>
      </w:r>
      <w:r w:rsidRPr="0062522D">
        <w:rPr>
          <w:snapToGrid/>
          <w:lang w:eastAsia="en-GB"/>
        </w:rPr>
        <w:t xml:space="preserve">he complete application form (Part A: concept note and Part B: full application form), budget and logical framework (i.e. the application must not be split into several different files). </w:t>
      </w:r>
    </w:p>
    <w:p w:rsidR="00851031" w:rsidRPr="0062522D" w:rsidRDefault="00851031" w:rsidP="00851031">
      <w:r w:rsidRPr="0062522D">
        <w:t>Where a lead applicant sends several different applications (if allowed to do so by the guidelines of the call), each one has to be sent separately.</w:t>
      </w:r>
    </w:p>
    <w:p w:rsidR="00851031" w:rsidRPr="0062522D" w:rsidRDefault="00851031" w:rsidP="00851031">
      <w:r w:rsidRPr="0062522D">
        <w:t xml:space="preserve">The </w:t>
      </w:r>
      <w:r>
        <w:t>e-mail subject</w:t>
      </w:r>
      <w:r w:rsidRPr="0062522D">
        <w:t xml:space="preserve"> must bear the </w:t>
      </w:r>
      <w:r w:rsidRPr="0062522D">
        <w:rPr>
          <w:b/>
          <w:u w:val="single"/>
        </w:rPr>
        <w:t>reference number and the title of the call for proposals</w:t>
      </w:r>
      <w:r w:rsidRPr="0062522D">
        <w:t>.</w:t>
      </w:r>
    </w:p>
    <w:p w:rsidR="00851031" w:rsidRPr="0062522D" w:rsidRDefault="00851031" w:rsidP="00851031">
      <w:r w:rsidRPr="0062522D">
        <w:t xml:space="preserve">Applications must be submitted electronically via a specific email address provided for in section 2.2.3 below </w:t>
      </w:r>
    </w:p>
    <w:p w:rsidR="00851031" w:rsidRDefault="00851031" w:rsidP="00851031">
      <w:pPr>
        <w:rPr>
          <w:b/>
          <w:u w:val="single"/>
        </w:rPr>
      </w:pPr>
      <w:r w:rsidRPr="0062522D">
        <w:rPr>
          <w:b/>
        </w:rPr>
        <w:t xml:space="preserve">Lead applicants must verify that their application is complete using the checklist (section 7 of Part B of the grant application form). </w:t>
      </w:r>
      <w:r w:rsidRPr="0062522D">
        <w:rPr>
          <w:b/>
          <w:u w:val="single"/>
        </w:rPr>
        <w:t>Incomplete applications may be rejected.</w:t>
      </w:r>
    </w:p>
    <w:p w:rsidR="00851031" w:rsidRPr="00F11FDA" w:rsidRDefault="00851031" w:rsidP="00851031">
      <w:pPr>
        <w:pStyle w:val="Guidelines3"/>
        <w:rPr>
          <w:highlight w:val="lightGray"/>
        </w:rPr>
      </w:pPr>
      <w:bookmarkStart w:id="19" w:name="_Toc437893857"/>
      <w:r w:rsidRPr="00F11FDA">
        <w:rPr>
          <w:highlight w:val="lightGray"/>
        </w:rPr>
        <w:t>Deadline for submission of applications</w:t>
      </w:r>
      <w:bookmarkEnd w:id="19"/>
    </w:p>
    <w:p w:rsidR="00851031" w:rsidRPr="00C046D4" w:rsidRDefault="00851031" w:rsidP="00851031">
      <w:pPr>
        <w:spacing w:before="240"/>
      </w:pPr>
      <w:r w:rsidRPr="00F11FDA">
        <w:t xml:space="preserve">The deadline for the </w:t>
      </w:r>
      <w:r w:rsidRPr="00C046D4">
        <w:t xml:space="preserve">submission of applications is </w:t>
      </w:r>
      <w:r w:rsidR="00A31E39">
        <w:rPr>
          <w:b/>
          <w:highlight w:val="yellow"/>
        </w:rPr>
        <w:t>29</w:t>
      </w:r>
      <w:r w:rsidRPr="00C051D1">
        <w:rPr>
          <w:b/>
          <w:highlight w:val="yellow"/>
          <w:vertAlign w:val="superscript"/>
        </w:rPr>
        <w:t>th</w:t>
      </w:r>
      <w:r w:rsidRPr="00C051D1">
        <w:rPr>
          <w:b/>
          <w:highlight w:val="yellow"/>
        </w:rPr>
        <w:t xml:space="preserve"> </w:t>
      </w:r>
      <w:r w:rsidR="00A31E39">
        <w:rPr>
          <w:b/>
          <w:highlight w:val="yellow"/>
        </w:rPr>
        <w:t>January</w:t>
      </w:r>
      <w:r w:rsidRPr="00C051D1">
        <w:rPr>
          <w:b/>
          <w:highlight w:val="yellow"/>
        </w:rPr>
        <w:t xml:space="preserve"> 2021</w:t>
      </w:r>
      <w:r>
        <w:t xml:space="preserve"> </w:t>
      </w:r>
      <w:r w:rsidRPr="00C046D4">
        <w:t>electronically to the email below. Both Concept Note and Full Application should be submitted together to the email provide below on or before the closing date</w:t>
      </w:r>
      <w:r>
        <w:t xml:space="preserve"> and time of </w:t>
      </w:r>
      <w:r w:rsidRPr="00C051D1">
        <w:rPr>
          <w:b/>
          <w:highlight w:val="yellow"/>
        </w:rPr>
        <w:t>14:00 Hrs</w:t>
      </w:r>
      <w:r w:rsidRPr="00C046D4">
        <w:t>. Any application submitted after the deadline will automatically be rejected.</w:t>
      </w:r>
    </w:p>
    <w:p w:rsidR="00851031" w:rsidRPr="00C046D4" w:rsidRDefault="00851031" w:rsidP="00851031">
      <w:pPr>
        <w:spacing w:before="240"/>
      </w:pPr>
      <w:r w:rsidRPr="00C046D4">
        <w:t>Email address for submission of Concept note and Full Grant Applications is as follows</w:t>
      </w:r>
    </w:p>
    <w:p w:rsidR="00851031" w:rsidRPr="00C051D1" w:rsidRDefault="00851031" w:rsidP="00851031">
      <w:pPr>
        <w:spacing w:before="240"/>
        <w:rPr>
          <w:rFonts w:ascii="Maiandra GD" w:hAnsi="Maiandra GD"/>
          <w:b/>
          <w:sz w:val="28"/>
        </w:rPr>
      </w:pPr>
      <w:r w:rsidRPr="00C051D1">
        <w:rPr>
          <w:rFonts w:ascii="Maiandra GD" w:hAnsi="Maiandra GD"/>
          <w:b/>
          <w:sz w:val="28"/>
        </w:rPr>
        <w:t xml:space="preserve">Email: </w:t>
      </w:r>
      <w:hyperlink r:id="rId13" w:history="1">
        <w:r w:rsidRPr="00C051D1">
          <w:rPr>
            <w:rStyle w:val="Hyperlink"/>
            <w:rFonts w:ascii="Maiandra GD" w:hAnsi="Maiandra GD"/>
            <w:b/>
            <w:sz w:val="28"/>
            <w:highlight w:val="yellow"/>
          </w:rPr>
          <w:t>gccaplusgrants@sadc.int</w:t>
        </w:r>
      </w:hyperlink>
      <w:r w:rsidRPr="00C051D1">
        <w:rPr>
          <w:rFonts w:ascii="Maiandra GD" w:hAnsi="Maiandra GD"/>
          <w:b/>
          <w:sz w:val="28"/>
          <w:highlight w:val="yellow"/>
        </w:rPr>
        <w:t xml:space="preserve">   </w:t>
      </w:r>
      <w:hyperlink r:id="rId14" w:history="1"/>
      <w:r w:rsidRPr="00C051D1">
        <w:rPr>
          <w:rFonts w:ascii="Maiandra GD" w:hAnsi="Maiandra GD"/>
          <w:b/>
          <w:sz w:val="28"/>
        </w:rPr>
        <w:t xml:space="preserve">  </w:t>
      </w:r>
    </w:p>
    <w:p w:rsidR="00851031" w:rsidRPr="00A4059B" w:rsidRDefault="00851031" w:rsidP="00851031">
      <w:pPr>
        <w:pStyle w:val="Guidelines3"/>
        <w:rPr>
          <w:szCs w:val="22"/>
        </w:rPr>
      </w:pPr>
      <w:bookmarkStart w:id="20" w:name="_Toc437893858"/>
      <w:r w:rsidRPr="00A4059B">
        <w:t>Further information about applications</w:t>
      </w:r>
      <w:bookmarkEnd w:id="20"/>
      <w:r w:rsidRPr="00A4059B">
        <w:t xml:space="preserve"> </w:t>
      </w:r>
    </w:p>
    <w:p w:rsidR="00851031" w:rsidRDefault="00851031" w:rsidP="00851031"/>
    <w:p w:rsidR="00851031" w:rsidRDefault="00851031" w:rsidP="00851031">
      <w:r w:rsidRPr="004551B9">
        <w:t xml:space="preserve">An information session on this call for proposals will be held on </w:t>
      </w:r>
      <w:r w:rsidRPr="00A31E39">
        <w:rPr>
          <w:b/>
          <w:highlight w:val="yellow"/>
        </w:rPr>
        <w:t>16</w:t>
      </w:r>
      <w:r w:rsidRPr="00A31E39">
        <w:rPr>
          <w:b/>
          <w:highlight w:val="yellow"/>
          <w:vertAlign w:val="superscript"/>
        </w:rPr>
        <w:t>th</w:t>
      </w:r>
      <w:r w:rsidRPr="001804BB">
        <w:rPr>
          <w:highlight w:val="yellow"/>
        </w:rPr>
        <w:t xml:space="preserve"> </w:t>
      </w:r>
      <w:r w:rsidRPr="001804BB">
        <w:rPr>
          <w:b/>
          <w:highlight w:val="yellow"/>
        </w:rPr>
        <w:t>December 2020</w:t>
      </w:r>
      <w:r>
        <w:t xml:space="preserve"> from </w:t>
      </w:r>
      <w:r w:rsidRPr="004551B9">
        <w:rPr>
          <w:b/>
        </w:rPr>
        <w:t>1</w:t>
      </w:r>
      <w:r w:rsidR="00A31E39">
        <w:rPr>
          <w:b/>
        </w:rPr>
        <w:t>0</w:t>
      </w:r>
      <w:r w:rsidRPr="004551B9">
        <w:rPr>
          <w:b/>
        </w:rPr>
        <w:t>.00 hours</w:t>
      </w:r>
      <w:r w:rsidRPr="004551B9">
        <w:t xml:space="preserve"> virt</w:t>
      </w:r>
      <w:r>
        <w:t xml:space="preserve">ually </w:t>
      </w:r>
      <w:r w:rsidRPr="004551B9">
        <w:t>using the link below;</w:t>
      </w:r>
    </w:p>
    <w:p w:rsidR="00851031" w:rsidRPr="004551B9" w:rsidRDefault="00851031" w:rsidP="00851031"/>
    <w:p w:rsidR="00851031" w:rsidRPr="00021D8A" w:rsidRDefault="00851031" w:rsidP="00851031">
      <w:pPr>
        <w:spacing w:after="0"/>
        <w:jc w:val="left"/>
        <w:rPr>
          <w:rFonts w:ascii="Calibri" w:eastAsia="Calibri" w:hAnsi="Calibri" w:cs="Calibri"/>
          <w:snapToGrid/>
          <w:color w:val="1F497D"/>
          <w:szCs w:val="22"/>
          <w:lang w:val="en-US"/>
        </w:rPr>
      </w:pPr>
      <w:r w:rsidRPr="00021D8A">
        <w:rPr>
          <w:rFonts w:ascii="Calibri" w:eastAsia="Calibri" w:hAnsi="Calibri" w:cs="Calibri"/>
          <w:snapToGrid/>
          <w:color w:val="1F497D"/>
          <w:szCs w:val="22"/>
          <w:lang w:val="en-US"/>
        </w:rPr>
        <w:t xml:space="preserve">Topic: </w:t>
      </w:r>
      <w:r w:rsidRPr="00021D8A">
        <w:rPr>
          <w:rFonts w:ascii="Calibri" w:eastAsia="Calibri" w:hAnsi="Calibri" w:cs="Calibri"/>
          <w:b/>
          <w:bCs/>
          <w:snapToGrid/>
          <w:color w:val="1F497D"/>
          <w:szCs w:val="22"/>
          <w:lang w:val="en-US"/>
        </w:rPr>
        <w:t>GCCA Grant Guidelines information Session</w:t>
      </w:r>
    </w:p>
    <w:p w:rsidR="00851031" w:rsidRPr="00021D8A" w:rsidRDefault="00851031" w:rsidP="00851031">
      <w:pPr>
        <w:spacing w:after="0"/>
        <w:jc w:val="left"/>
        <w:rPr>
          <w:rFonts w:ascii="Calibri" w:eastAsia="Calibri" w:hAnsi="Calibri" w:cs="Calibri"/>
          <w:snapToGrid/>
          <w:color w:val="1F497D"/>
          <w:szCs w:val="22"/>
          <w:lang w:val="en-US"/>
        </w:rPr>
      </w:pPr>
      <w:r w:rsidRPr="00021D8A">
        <w:rPr>
          <w:rFonts w:ascii="Calibri" w:eastAsia="Calibri" w:hAnsi="Calibri" w:cs="Calibri"/>
          <w:snapToGrid/>
          <w:color w:val="1F497D"/>
          <w:szCs w:val="22"/>
          <w:lang w:val="en-US"/>
        </w:rPr>
        <w:t xml:space="preserve">Time: Dec </w:t>
      </w:r>
      <w:r w:rsidR="00A31E39">
        <w:rPr>
          <w:rFonts w:ascii="Calibri" w:eastAsia="Calibri" w:hAnsi="Calibri" w:cs="Calibri"/>
          <w:snapToGrid/>
          <w:color w:val="1F497D"/>
          <w:szCs w:val="22"/>
          <w:lang w:val="en-US"/>
        </w:rPr>
        <w:t>16, 2020 10</w:t>
      </w:r>
      <w:r w:rsidRPr="00021D8A">
        <w:rPr>
          <w:rFonts w:ascii="Calibri" w:eastAsia="Calibri" w:hAnsi="Calibri" w:cs="Calibri"/>
          <w:snapToGrid/>
          <w:color w:val="1F497D"/>
          <w:szCs w:val="22"/>
          <w:lang w:val="en-US"/>
        </w:rPr>
        <w:t>:00 AM Harare, Pretoria</w:t>
      </w:r>
    </w:p>
    <w:p w:rsidR="00851031" w:rsidRPr="00021D8A" w:rsidRDefault="00851031" w:rsidP="00851031">
      <w:pPr>
        <w:spacing w:after="0"/>
        <w:jc w:val="left"/>
        <w:rPr>
          <w:rFonts w:ascii="Calibri" w:eastAsia="Calibri" w:hAnsi="Calibri" w:cs="Calibri"/>
          <w:snapToGrid/>
          <w:color w:val="1F497D"/>
          <w:szCs w:val="22"/>
          <w:lang w:val="en-US"/>
        </w:rPr>
      </w:pPr>
    </w:p>
    <w:p w:rsidR="00851031" w:rsidRPr="00021D8A" w:rsidRDefault="00851031" w:rsidP="00851031">
      <w:pPr>
        <w:spacing w:after="0"/>
        <w:jc w:val="left"/>
        <w:rPr>
          <w:rFonts w:ascii="Calibri" w:eastAsia="Calibri" w:hAnsi="Calibri" w:cs="Calibri"/>
          <w:snapToGrid/>
          <w:color w:val="1F497D"/>
          <w:szCs w:val="22"/>
          <w:lang w:val="en-US"/>
        </w:rPr>
      </w:pPr>
      <w:r w:rsidRPr="00021D8A">
        <w:rPr>
          <w:rFonts w:ascii="Calibri" w:eastAsia="Calibri" w:hAnsi="Calibri" w:cs="Calibri"/>
          <w:snapToGrid/>
          <w:color w:val="1F497D"/>
          <w:szCs w:val="22"/>
          <w:lang w:val="en-US"/>
        </w:rPr>
        <w:t>Join Zoom Meeting</w:t>
      </w:r>
    </w:p>
    <w:p w:rsidR="00851031" w:rsidRPr="00021D8A" w:rsidRDefault="00FE2C86" w:rsidP="00851031">
      <w:pPr>
        <w:spacing w:after="0"/>
        <w:jc w:val="left"/>
        <w:rPr>
          <w:rFonts w:ascii="Calibri" w:eastAsia="Calibri" w:hAnsi="Calibri" w:cs="Calibri"/>
          <w:snapToGrid/>
          <w:color w:val="1F497D"/>
          <w:szCs w:val="22"/>
          <w:lang w:val="en-US"/>
        </w:rPr>
      </w:pPr>
      <w:hyperlink r:id="rId15" w:history="1">
        <w:r w:rsidR="00851031" w:rsidRPr="00021D8A">
          <w:rPr>
            <w:rFonts w:ascii="Calibri" w:eastAsia="Calibri" w:hAnsi="Calibri" w:cs="Calibri"/>
            <w:snapToGrid/>
            <w:color w:val="0563C1"/>
            <w:szCs w:val="22"/>
            <w:u w:val="single"/>
            <w:lang w:val="en-US"/>
          </w:rPr>
          <w:t>https://us02web.zoom.us/j/86863786653?pwd=SHp4TFpLMS9ac29VVWp3akd4ck1SQT09</w:t>
        </w:r>
      </w:hyperlink>
      <w:r w:rsidR="00851031" w:rsidRPr="00021D8A">
        <w:rPr>
          <w:rFonts w:ascii="Calibri" w:eastAsia="Calibri" w:hAnsi="Calibri" w:cs="Calibri"/>
          <w:snapToGrid/>
          <w:color w:val="1F497D"/>
          <w:szCs w:val="22"/>
          <w:lang w:val="en-US"/>
        </w:rPr>
        <w:t xml:space="preserve"> </w:t>
      </w:r>
    </w:p>
    <w:p w:rsidR="00851031" w:rsidRPr="00021D8A" w:rsidRDefault="00851031" w:rsidP="00851031">
      <w:pPr>
        <w:spacing w:after="0"/>
        <w:jc w:val="left"/>
        <w:rPr>
          <w:rFonts w:ascii="Calibri" w:eastAsia="Calibri" w:hAnsi="Calibri" w:cs="Calibri"/>
          <w:snapToGrid/>
          <w:color w:val="1F497D"/>
          <w:szCs w:val="22"/>
          <w:lang w:val="en-US"/>
        </w:rPr>
      </w:pPr>
    </w:p>
    <w:p w:rsidR="00851031" w:rsidRPr="00021D8A" w:rsidRDefault="00851031" w:rsidP="00851031">
      <w:pPr>
        <w:spacing w:after="0"/>
        <w:jc w:val="left"/>
        <w:rPr>
          <w:rFonts w:ascii="Calibri" w:eastAsia="Calibri" w:hAnsi="Calibri" w:cs="Calibri"/>
          <w:snapToGrid/>
          <w:color w:val="1F497D"/>
          <w:szCs w:val="22"/>
          <w:lang w:val="en-US"/>
        </w:rPr>
      </w:pPr>
      <w:r w:rsidRPr="00021D8A">
        <w:rPr>
          <w:rFonts w:ascii="Calibri" w:eastAsia="Calibri" w:hAnsi="Calibri" w:cs="Calibri"/>
          <w:snapToGrid/>
          <w:color w:val="1F497D"/>
          <w:szCs w:val="22"/>
          <w:lang w:val="en-US"/>
        </w:rPr>
        <w:t xml:space="preserve">Meeting ID: </w:t>
      </w:r>
      <w:r w:rsidRPr="00021D8A">
        <w:rPr>
          <w:rFonts w:ascii="Calibri" w:eastAsia="Calibri" w:hAnsi="Calibri" w:cs="Calibri"/>
          <w:b/>
          <w:bCs/>
          <w:snapToGrid/>
          <w:color w:val="1F497D"/>
          <w:szCs w:val="22"/>
          <w:lang w:val="en-US"/>
        </w:rPr>
        <w:t>868 6378 6653</w:t>
      </w:r>
    </w:p>
    <w:p w:rsidR="00851031" w:rsidRPr="00021D8A" w:rsidRDefault="00851031" w:rsidP="00851031">
      <w:pPr>
        <w:spacing w:after="0"/>
        <w:jc w:val="left"/>
        <w:rPr>
          <w:rFonts w:ascii="Calibri" w:eastAsia="Calibri" w:hAnsi="Calibri" w:cs="Calibri"/>
          <w:snapToGrid/>
          <w:color w:val="1F497D"/>
          <w:szCs w:val="22"/>
          <w:lang w:val="en-US"/>
        </w:rPr>
      </w:pPr>
      <w:r w:rsidRPr="00021D8A">
        <w:rPr>
          <w:rFonts w:ascii="Calibri" w:eastAsia="Calibri" w:hAnsi="Calibri" w:cs="Calibri"/>
          <w:snapToGrid/>
          <w:color w:val="1F497D"/>
          <w:szCs w:val="22"/>
          <w:lang w:val="en-US"/>
        </w:rPr>
        <w:t xml:space="preserve">Passcode: </w:t>
      </w:r>
      <w:r w:rsidRPr="00021D8A">
        <w:rPr>
          <w:rFonts w:ascii="Calibri" w:eastAsia="Calibri" w:hAnsi="Calibri" w:cs="Calibri"/>
          <w:b/>
          <w:bCs/>
          <w:snapToGrid/>
          <w:color w:val="1F497D"/>
          <w:szCs w:val="22"/>
          <w:lang w:val="en-US"/>
        </w:rPr>
        <w:t>731812</w:t>
      </w:r>
    </w:p>
    <w:p w:rsidR="00851031" w:rsidRPr="00021D8A" w:rsidRDefault="00851031" w:rsidP="00851031">
      <w:pPr>
        <w:spacing w:after="0"/>
        <w:jc w:val="left"/>
        <w:rPr>
          <w:rFonts w:ascii="Calibri" w:eastAsia="Calibri" w:hAnsi="Calibri" w:cs="Calibri"/>
          <w:snapToGrid/>
          <w:color w:val="1F497D"/>
          <w:szCs w:val="22"/>
          <w:lang w:val="en-US"/>
        </w:rPr>
      </w:pPr>
    </w:p>
    <w:p w:rsidR="00851031" w:rsidRPr="00021D8A" w:rsidRDefault="00851031" w:rsidP="00851031">
      <w:pPr>
        <w:spacing w:after="0"/>
        <w:jc w:val="left"/>
        <w:rPr>
          <w:rFonts w:ascii="Calibri" w:eastAsia="Calibri" w:hAnsi="Calibri" w:cs="Calibri"/>
          <w:snapToGrid/>
          <w:color w:val="1F497D"/>
          <w:szCs w:val="22"/>
          <w:lang w:val="en-US"/>
        </w:rPr>
      </w:pPr>
      <w:r w:rsidRPr="00021D8A">
        <w:rPr>
          <w:rFonts w:ascii="Calibri" w:eastAsia="Calibri" w:hAnsi="Calibri" w:cs="Calibri"/>
          <w:snapToGrid/>
          <w:color w:val="1F497D"/>
          <w:szCs w:val="22"/>
          <w:lang w:val="en-US"/>
        </w:rPr>
        <w:t>Join by SIP</w:t>
      </w:r>
    </w:p>
    <w:p w:rsidR="00851031" w:rsidRPr="00021D8A" w:rsidRDefault="00FE2C86" w:rsidP="00851031">
      <w:pPr>
        <w:spacing w:after="0"/>
        <w:jc w:val="left"/>
        <w:rPr>
          <w:rFonts w:ascii="Calibri" w:eastAsia="Calibri" w:hAnsi="Calibri" w:cs="Calibri"/>
          <w:snapToGrid/>
          <w:color w:val="1F497D"/>
          <w:szCs w:val="22"/>
          <w:lang w:val="en-US"/>
        </w:rPr>
      </w:pPr>
      <w:hyperlink r:id="rId16" w:history="1">
        <w:r w:rsidR="00851031" w:rsidRPr="00021D8A">
          <w:rPr>
            <w:rFonts w:ascii="Calibri" w:eastAsia="Calibri" w:hAnsi="Calibri" w:cs="Calibri"/>
            <w:snapToGrid/>
            <w:color w:val="0563C1"/>
            <w:szCs w:val="22"/>
            <w:u w:val="single"/>
            <w:lang w:val="en-US"/>
          </w:rPr>
          <w:t>86863786653@zoomcrc.com</w:t>
        </w:r>
      </w:hyperlink>
      <w:r w:rsidR="00851031" w:rsidRPr="00021D8A">
        <w:rPr>
          <w:rFonts w:ascii="Calibri" w:eastAsia="Calibri" w:hAnsi="Calibri" w:cs="Calibri"/>
          <w:snapToGrid/>
          <w:color w:val="1F497D"/>
          <w:szCs w:val="22"/>
          <w:lang w:val="en-US"/>
        </w:rPr>
        <w:t xml:space="preserve"> </w:t>
      </w:r>
    </w:p>
    <w:p w:rsidR="00851031" w:rsidRPr="004551B9" w:rsidRDefault="00851031" w:rsidP="00851031">
      <w:pPr>
        <w:spacing w:after="240"/>
        <w:jc w:val="left"/>
        <w:rPr>
          <w:rFonts w:ascii="Calibri" w:hAnsi="Calibri" w:cs="Calibri"/>
          <w:snapToGrid/>
          <w:color w:val="000000"/>
          <w:sz w:val="24"/>
          <w:szCs w:val="24"/>
          <w:lang w:val="en-US"/>
        </w:rPr>
      </w:pPr>
    </w:p>
    <w:p w:rsidR="00851031" w:rsidRPr="00A4059B" w:rsidRDefault="00851031" w:rsidP="00851031">
      <w:r w:rsidRPr="00A4059B">
        <w:t xml:space="preserve">Questions may be sent by e-mail no later than </w:t>
      </w:r>
      <w:r w:rsidR="00A31E39">
        <w:rPr>
          <w:b/>
          <w:highlight w:val="yellow"/>
        </w:rPr>
        <w:t>8</w:t>
      </w:r>
      <w:r w:rsidRPr="001804BB">
        <w:rPr>
          <w:b/>
          <w:highlight w:val="yellow"/>
          <w:vertAlign w:val="superscript"/>
        </w:rPr>
        <w:t>th</w:t>
      </w:r>
      <w:r w:rsidRPr="001804BB">
        <w:rPr>
          <w:b/>
          <w:highlight w:val="yellow"/>
        </w:rPr>
        <w:t xml:space="preserve"> January 2021</w:t>
      </w:r>
      <w:r>
        <w:t xml:space="preserve"> </w:t>
      </w:r>
      <w:r w:rsidRPr="00A4059B">
        <w:t xml:space="preserve">the deadline for the submission of applications to the below </w:t>
      </w:r>
      <w:proofErr w:type="gramStart"/>
      <w:r w:rsidRPr="00A4059B">
        <w:t>address(</w:t>
      </w:r>
      <w:proofErr w:type="spellStart"/>
      <w:proofErr w:type="gramEnd"/>
      <w:r w:rsidRPr="00A4059B">
        <w:t>es</w:t>
      </w:r>
      <w:proofErr w:type="spellEnd"/>
      <w:r w:rsidRPr="00A4059B">
        <w:t>), indicating clearly the reference of the call for proposals:</w:t>
      </w:r>
    </w:p>
    <w:p w:rsidR="00851031" w:rsidRPr="00A4059B" w:rsidRDefault="00851031" w:rsidP="00851031">
      <w:pPr>
        <w:ind w:left="567"/>
        <w:rPr>
          <w:b/>
          <w:lang w:val="en-US"/>
        </w:rPr>
      </w:pPr>
      <w:r w:rsidRPr="00A4059B">
        <w:t xml:space="preserve">E-mail address: </w:t>
      </w:r>
      <w:r w:rsidRPr="00A4059B">
        <w:rPr>
          <w:b/>
          <w:lang w:val="en-US"/>
        </w:rPr>
        <w:t xml:space="preserve">mmikuwa@sadc.int and </w:t>
      </w:r>
      <w:r w:rsidRPr="00C046D4">
        <w:rPr>
          <w:b/>
          <w:lang w:val="en-US"/>
        </w:rPr>
        <w:t>tenders@sadc.int</w:t>
      </w:r>
    </w:p>
    <w:p w:rsidR="00851031" w:rsidRPr="00A4059B" w:rsidRDefault="00851031" w:rsidP="00851031">
      <w:pPr>
        <w:ind w:left="567"/>
      </w:pPr>
      <w:proofErr w:type="gramStart"/>
      <w:r w:rsidRPr="001804BB">
        <w:rPr>
          <w:lang w:val="en-US"/>
        </w:rPr>
        <w:t>with</w:t>
      </w:r>
      <w:proofErr w:type="gramEnd"/>
      <w:r w:rsidRPr="001804BB">
        <w:rPr>
          <w:lang w:val="en-US"/>
        </w:rPr>
        <w:t xml:space="preserve"> a copy to</w:t>
      </w:r>
      <w:r w:rsidRPr="00A4059B">
        <w:rPr>
          <w:b/>
          <w:lang w:val="en-US"/>
        </w:rPr>
        <w:t>: smavimbela@sadc.int</w:t>
      </w:r>
      <w:r>
        <w:rPr>
          <w:b/>
          <w:lang w:val="en-US"/>
        </w:rPr>
        <w:t xml:space="preserve"> and</w:t>
      </w:r>
      <w:r w:rsidRPr="00A4059B">
        <w:rPr>
          <w:b/>
          <w:lang w:val="en-US"/>
        </w:rPr>
        <w:t xml:space="preserve"> vchingalawa@sadc.int </w:t>
      </w:r>
    </w:p>
    <w:p w:rsidR="00851031" w:rsidRPr="00A4059B" w:rsidRDefault="00851031" w:rsidP="00851031">
      <w:r w:rsidRPr="00A4059B">
        <w:t>The Contracting Authority has no obligation to provide clarifications to questions received after this date.</w:t>
      </w:r>
    </w:p>
    <w:p w:rsidR="00851031" w:rsidRPr="00A4059B" w:rsidRDefault="00851031" w:rsidP="00851031">
      <w:r w:rsidRPr="00A4059B">
        <w:t xml:space="preserve">Replies </w:t>
      </w:r>
      <w:r>
        <w:t xml:space="preserve">to clarifications </w:t>
      </w:r>
      <w:r w:rsidRPr="00A4059B">
        <w:t xml:space="preserve">will be given no later than </w:t>
      </w:r>
      <w:r w:rsidR="00A31E39">
        <w:rPr>
          <w:b/>
          <w:highlight w:val="yellow"/>
        </w:rPr>
        <w:t>1</w:t>
      </w:r>
      <w:r>
        <w:rPr>
          <w:b/>
          <w:highlight w:val="yellow"/>
        </w:rPr>
        <w:t>5</w:t>
      </w:r>
      <w:r w:rsidRPr="004551B9">
        <w:rPr>
          <w:b/>
          <w:highlight w:val="yellow"/>
          <w:vertAlign w:val="superscript"/>
        </w:rPr>
        <w:t>th</w:t>
      </w:r>
      <w:r w:rsidRPr="004551B9">
        <w:rPr>
          <w:b/>
          <w:highlight w:val="yellow"/>
        </w:rPr>
        <w:t xml:space="preserve"> January 2021</w:t>
      </w:r>
      <w:r w:rsidRPr="00A4059B">
        <w:t xml:space="preserve"> </w:t>
      </w:r>
      <w:r>
        <w:t xml:space="preserve">16.00hours. Closing day for receiving application shall be </w:t>
      </w:r>
      <w:r w:rsidR="00A31E39">
        <w:rPr>
          <w:b/>
          <w:highlight w:val="yellow"/>
        </w:rPr>
        <w:t>29</w:t>
      </w:r>
      <w:r w:rsidRPr="00E0192A">
        <w:rPr>
          <w:b/>
          <w:highlight w:val="yellow"/>
          <w:vertAlign w:val="superscript"/>
        </w:rPr>
        <w:t>th</w:t>
      </w:r>
      <w:r w:rsidRPr="00E0192A">
        <w:rPr>
          <w:b/>
          <w:highlight w:val="yellow"/>
        </w:rPr>
        <w:t xml:space="preserve"> </w:t>
      </w:r>
      <w:r w:rsidR="00A31E39">
        <w:rPr>
          <w:b/>
          <w:highlight w:val="yellow"/>
        </w:rPr>
        <w:t xml:space="preserve">January </w:t>
      </w:r>
      <w:r w:rsidRPr="00E0192A">
        <w:rPr>
          <w:b/>
          <w:highlight w:val="yellow"/>
        </w:rPr>
        <w:t>2021 at 14.00 hours</w:t>
      </w:r>
      <w:r>
        <w:t xml:space="preserve">. </w:t>
      </w:r>
    </w:p>
    <w:p w:rsidR="00851031" w:rsidRPr="00A4059B" w:rsidRDefault="00851031" w:rsidP="00851031">
      <w:pPr>
        <w:rPr>
          <w:szCs w:val="22"/>
        </w:rPr>
      </w:pPr>
      <w:r w:rsidRPr="00A4059B">
        <w:rPr>
          <w:szCs w:val="22"/>
        </w:rPr>
        <w:t xml:space="preserve">To ensure equal treatment of applicants, the Contracting Authority cannot give a prior opinion on the eligibility of lead applicants, co-applicants, affiliated </w:t>
      </w:r>
      <w:proofErr w:type="gramStart"/>
      <w:r w:rsidRPr="00A4059B">
        <w:rPr>
          <w:szCs w:val="22"/>
        </w:rPr>
        <w:t>entity(</w:t>
      </w:r>
      <w:proofErr w:type="spellStart"/>
      <w:proofErr w:type="gramEnd"/>
      <w:r w:rsidRPr="00A4059B">
        <w:rPr>
          <w:szCs w:val="22"/>
        </w:rPr>
        <w:t>ies</w:t>
      </w:r>
      <w:proofErr w:type="spellEnd"/>
      <w:r w:rsidRPr="00A4059B">
        <w:rPr>
          <w:szCs w:val="22"/>
        </w:rPr>
        <w:t>), an action or specific activities.</w:t>
      </w:r>
    </w:p>
    <w:p w:rsidR="00851031" w:rsidRPr="00A4059B" w:rsidRDefault="00851031" w:rsidP="00851031">
      <w:pPr>
        <w:rPr>
          <w:szCs w:val="22"/>
        </w:rPr>
      </w:pPr>
      <w:r w:rsidRPr="00A4059B">
        <w:rPr>
          <w:szCs w:val="22"/>
        </w:rPr>
        <w:t xml:space="preserve">Questions that may be relevant to other applicants, together with the answers, will be published on the SADC Secretariat </w:t>
      </w:r>
      <w:r w:rsidRPr="00C046D4">
        <w:rPr>
          <w:szCs w:val="22"/>
        </w:rPr>
        <w:t>website</w:t>
      </w:r>
      <w:r>
        <w:rPr>
          <w:szCs w:val="22"/>
        </w:rPr>
        <w:t xml:space="preserve"> –</w:t>
      </w:r>
      <w:r w:rsidRPr="005D6BBA">
        <w:rPr>
          <w:szCs w:val="22"/>
        </w:rPr>
        <w:t>www.sadc.int</w:t>
      </w:r>
      <w:r>
        <w:rPr>
          <w:szCs w:val="22"/>
        </w:rPr>
        <w:t xml:space="preserve">. </w:t>
      </w:r>
      <w:r w:rsidRPr="00A4059B">
        <w:rPr>
          <w:szCs w:val="22"/>
        </w:rPr>
        <w:t>It is therefore advisable to consult the abovementioned website regularly in order to be informed of the questions and answers published.</w:t>
      </w:r>
    </w:p>
    <w:p w:rsidR="00851031" w:rsidRPr="00F11FDA" w:rsidRDefault="00851031" w:rsidP="00851031">
      <w:pPr>
        <w:pStyle w:val="Guidelines2"/>
        <w:rPr>
          <w:i/>
        </w:rPr>
      </w:pPr>
      <w:bookmarkStart w:id="21" w:name="_Toc40507653"/>
      <w:bookmarkStart w:id="22" w:name="_Toc437893859"/>
      <w:r w:rsidRPr="00F11FDA">
        <w:t>Evaluation and selection of applications</w:t>
      </w:r>
      <w:bookmarkEnd w:id="21"/>
      <w:bookmarkEnd w:id="22"/>
    </w:p>
    <w:p w:rsidR="00851031" w:rsidRPr="00F11FDA" w:rsidRDefault="00851031" w:rsidP="00851031">
      <w:r w:rsidRPr="00F11FDA">
        <w:t>Applications will be examined and evaluated by the Contracting Authority. All applications will be assessed according to the following steps and criteria.</w:t>
      </w:r>
    </w:p>
    <w:p w:rsidR="00851031" w:rsidRPr="0062522D" w:rsidRDefault="00851031" w:rsidP="00851031">
      <w:pPr>
        <w:numPr>
          <w:ilvl w:val="0"/>
          <w:numId w:val="32"/>
        </w:numPr>
      </w:pPr>
      <w:r w:rsidRPr="0062522D">
        <w:t>Selection and awards of grants under this support (</w:t>
      </w:r>
      <w:r w:rsidRPr="00183712">
        <w:t>GCCA+ Programme</w:t>
      </w:r>
      <w:r w:rsidRPr="0062522D">
        <w:t xml:space="preserve">) will follow rules and procedures as outlined in the SADC Procurement and Grants </w:t>
      </w:r>
      <w:r>
        <w:t>Policy 2019 and SADC Procurement and Grants Guidelines 2017. In case of discrepancy between the two, the provisions within the Policy prevail</w:t>
      </w:r>
      <w:r w:rsidRPr="0062522D">
        <w:t xml:space="preserve">  </w:t>
      </w:r>
    </w:p>
    <w:p w:rsidR="00851031" w:rsidRPr="00F11FDA" w:rsidRDefault="00851031" w:rsidP="00851031">
      <w:pPr>
        <w:numPr>
          <w:ilvl w:val="0"/>
          <w:numId w:val="32"/>
        </w:numPr>
      </w:pPr>
      <w:r w:rsidRPr="00F11FDA">
        <w:t xml:space="preserve">If the examination of the application reveals that the proposed action does not meet the </w:t>
      </w:r>
      <w:r w:rsidRPr="00F11FDA">
        <w:rPr>
          <w:u w:val="single"/>
        </w:rPr>
        <w:t>eligibility criteria</w:t>
      </w:r>
      <w:r w:rsidRPr="00F11FDA">
        <w:t xml:space="preserve"> stated in section 2.1, the application will be rejected on this sole basis.</w:t>
      </w:r>
    </w:p>
    <w:p w:rsidR="00851031" w:rsidRPr="00F11FDA" w:rsidRDefault="00851031" w:rsidP="00851031">
      <w:pPr>
        <w:numPr>
          <w:ilvl w:val="0"/>
          <w:numId w:val="21"/>
        </w:numPr>
        <w:tabs>
          <w:tab w:val="left" w:pos="426"/>
          <w:tab w:val="left" w:pos="1418"/>
        </w:tabs>
        <w:ind w:left="1418" w:hanging="1418"/>
        <w:jc w:val="left"/>
        <w:rPr>
          <w:b/>
          <w:sz w:val="24"/>
          <w:szCs w:val="24"/>
        </w:rPr>
      </w:pPr>
      <w:r w:rsidRPr="00F11FDA">
        <w:rPr>
          <w:b/>
          <w:sz w:val="24"/>
          <w:szCs w:val="24"/>
        </w:rPr>
        <w:br w:type="page"/>
        <w:t>STEP 1:</w:t>
      </w:r>
      <w:r w:rsidRPr="00F11FDA">
        <w:rPr>
          <w:b/>
          <w:sz w:val="24"/>
          <w:szCs w:val="24"/>
        </w:rPr>
        <w:tab/>
        <w:t>OPENING &amp; ADMINISTRATIVE CHECKS AND CONCEPT NOTE EVALUATION</w:t>
      </w:r>
    </w:p>
    <w:p w:rsidR="00851031" w:rsidRPr="00F11FDA" w:rsidRDefault="00851031" w:rsidP="00851031">
      <w:r w:rsidRPr="00F11FDA">
        <w:t>During the opening and administrative check the following will be assessed:</w:t>
      </w:r>
    </w:p>
    <w:p w:rsidR="00851031" w:rsidRPr="00F11FDA" w:rsidRDefault="00851031" w:rsidP="00851031">
      <w:pPr>
        <w:numPr>
          <w:ilvl w:val="2"/>
          <w:numId w:val="22"/>
        </w:numPr>
        <w:spacing w:before="120" w:after="120"/>
        <w:ind w:left="709"/>
      </w:pPr>
      <w:r w:rsidRPr="00F11FDA">
        <w:t>If the deadline has been met. Otherwise, the application will be automatically rejected.</w:t>
      </w:r>
    </w:p>
    <w:p w:rsidR="00851031" w:rsidRPr="00F11FDA" w:rsidRDefault="00851031" w:rsidP="00851031">
      <w:pPr>
        <w:numPr>
          <w:ilvl w:val="0"/>
          <w:numId w:val="22"/>
        </w:numPr>
      </w:pPr>
      <w:r w:rsidRPr="00F11FDA">
        <w:t xml:space="preserve">If the application satisfies all the criteria specified in the checklist in section 7 of Part B of the grant application form. This includes also an assessment of the eligibility of the action. If any of the requested information is missing or is incorrect, the application may be rejected on that </w:t>
      </w:r>
      <w:r w:rsidRPr="00F11FDA">
        <w:rPr>
          <w:b/>
          <w:u w:val="single"/>
        </w:rPr>
        <w:t>sole</w:t>
      </w:r>
      <w:r w:rsidRPr="00F11FDA">
        <w:t xml:space="preserve"> basis and the application will not be evaluated further.</w:t>
      </w:r>
    </w:p>
    <w:p w:rsidR="00851031" w:rsidRPr="00F11FDA" w:rsidRDefault="00851031" w:rsidP="00851031">
      <w:r w:rsidRPr="00F11FDA">
        <w:t>The concept notes that pass this check will be evaluated on the relevance and design of the proposed action.</w:t>
      </w:r>
    </w:p>
    <w:p w:rsidR="00851031" w:rsidRPr="00F11FDA" w:rsidRDefault="00851031" w:rsidP="00851031">
      <w:r w:rsidRPr="00F11FDA">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rsidR="00851031" w:rsidRPr="00F11FDA" w:rsidRDefault="00851031" w:rsidP="00851031">
      <w:bookmarkStart w:id="23" w:name="_Toc159211906"/>
      <w:bookmarkStart w:id="24" w:name="_Toc159212662"/>
      <w:bookmarkStart w:id="25" w:name="_Toc159212881"/>
      <w:bookmarkStart w:id="26" w:name="_Toc159213197"/>
      <w:r w:rsidRPr="00F11FDA">
        <w:t xml:space="preserve">The </w:t>
      </w:r>
      <w:r w:rsidRPr="00F11FDA">
        <w:rPr>
          <w:u w:val="single"/>
        </w:rPr>
        <w:t>evaluation criteria</w:t>
      </w:r>
      <w:r w:rsidRPr="00F11FDA">
        <w:t xml:space="preserve"> are divided into headings and subheadings. Each subheading will be given a score between 1 and 5 as follows: 1 = very poor; 2 = poor; 3 = adequate; 4 = good; 5 = very good.</w:t>
      </w:r>
    </w:p>
    <w:bookmarkEnd w:id="23"/>
    <w:bookmarkEnd w:id="24"/>
    <w:bookmarkEnd w:id="25"/>
    <w:bookmarkEnd w:id="26"/>
    <w:tbl>
      <w:tblPr>
        <w:tblW w:w="9997" w:type="dxa"/>
        <w:tblLayout w:type="fixed"/>
        <w:tblLook w:val="01E0" w:firstRow="1" w:lastRow="1" w:firstColumn="1" w:lastColumn="1" w:noHBand="0" w:noVBand="0"/>
      </w:tblPr>
      <w:tblGrid>
        <w:gridCol w:w="8208"/>
        <w:gridCol w:w="1260"/>
        <w:gridCol w:w="529"/>
      </w:tblGrid>
      <w:tr w:rsidR="00851031" w:rsidRPr="00F11FDA" w:rsidTr="00107A26">
        <w:tc>
          <w:tcPr>
            <w:tcW w:w="8208" w:type="dxa"/>
            <w:tcBorders>
              <w:bottom w:val="single" w:sz="4" w:space="0" w:color="auto"/>
            </w:tcBorders>
          </w:tcPr>
          <w:p w:rsidR="00851031" w:rsidRPr="00F11FDA" w:rsidRDefault="00851031" w:rsidP="00107A26">
            <w:pPr>
              <w:spacing w:before="120"/>
              <w:rPr>
                <w:b/>
                <w:szCs w:val="22"/>
              </w:rPr>
            </w:pPr>
          </w:p>
        </w:tc>
        <w:tc>
          <w:tcPr>
            <w:tcW w:w="1789" w:type="dxa"/>
            <w:gridSpan w:val="2"/>
            <w:tcBorders>
              <w:bottom w:val="single" w:sz="4" w:space="0" w:color="auto"/>
            </w:tcBorders>
          </w:tcPr>
          <w:p w:rsidR="00851031" w:rsidRPr="00F11FDA" w:rsidRDefault="00851031" w:rsidP="00107A26">
            <w:pPr>
              <w:spacing w:before="120"/>
              <w:jc w:val="center"/>
              <w:rPr>
                <w:b/>
                <w:szCs w:val="22"/>
              </w:rPr>
            </w:pPr>
            <w:r w:rsidRPr="00F11FDA">
              <w:rPr>
                <w:b/>
                <w:szCs w:val="22"/>
              </w:rPr>
              <w:t>Scores</w:t>
            </w:r>
          </w:p>
        </w:tc>
      </w:tr>
      <w:tr w:rsidR="00851031" w:rsidRPr="00F11FDA" w:rsidTr="00107A26">
        <w:tc>
          <w:tcPr>
            <w:tcW w:w="8208" w:type="dxa"/>
            <w:tcBorders>
              <w:top w:val="single" w:sz="4" w:space="0" w:color="auto"/>
              <w:left w:val="single" w:sz="4" w:space="0" w:color="auto"/>
              <w:bottom w:val="single" w:sz="4" w:space="0" w:color="auto"/>
            </w:tcBorders>
          </w:tcPr>
          <w:p w:rsidR="00851031" w:rsidRPr="00F11FDA" w:rsidRDefault="00851031" w:rsidP="00107A26">
            <w:pPr>
              <w:spacing w:before="120"/>
              <w:rPr>
                <w:b/>
                <w:szCs w:val="22"/>
              </w:rPr>
            </w:pPr>
            <w:r w:rsidRPr="00F11FDA">
              <w:rPr>
                <w:b/>
                <w:szCs w:val="22"/>
              </w:rPr>
              <w:t>1. Relevance of the action</w:t>
            </w:r>
          </w:p>
        </w:tc>
        <w:tc>
          <w:tcPr>
            <w:tcW w:w="1260" w:type="dxa"/>
            <w:tcBorders>
              <w:top w:val="single" w:sz="4" w:space="0" w:color="auto"/>
              <w:bottom w:val="single" w:sz="4" w:space="0" w:color="auto"/>
            </w:tcBorders>
          </w:tcPr>
          <w:p w:rsidR="00851031" w:rsidRPr="00F11FDA" w:rsidRDefault="00851031" w:rsidP="00107A26">
            <w:pPr>
              <w:spacing w:before="120"/>
              <w:jc w:val="center"/>
              <w:rPr>
                <w:szCs w:val="22"/>
              </w:rPr>
            </w:pPr>
            <w:r w:rsidRPr="00F11FDA">
              <w:rPr>
                <w:szCs w:val="22"/>
              </w:rPr>
              <w:t>Sub-score</w:t>
            </w:r>
          </w:p>
        </w:tc>
        <w:tc>
          <w:tcPr>
            <w:tcW w:w="529" w:type="dxa"/>
            <w:tcBorders>
              <w:top w:val="single" w:sz="4" w:space="0" w:color="auto"/>
              <w:bottom w:val="single" w:sz="4" w:space="0" w:color="auto"/>
              <w:right w:val="single" w:sz="4" w:space="0" w:color="auto"/>
            </w:tcBorders>
          </w:tcPr>
          <w:p w:rsidR="00851031" w:rsidRPr="00F11FDA" w:rsidRDefault="00851031" w:rsidP="00107A26">
            <w:pPr>
              <w:spacing w:before="120"/>
              <w:jc w:val="center"/>
              <w:rPr>
                <w:b/>
                <w:szCs w:val="22"/>
              </w:rPr>
            </w:pPr>
            <w:r w:rsidRPr="00F11FDA">
              <w:rPr>
                <w:b/>
                <w:szCs w:val="22"/>
              </w:rPr>
              <w:t>30</w:t>
            </w:r>
          </w:p>
        </w:tc>
      </w:tr>
      <w:tr w:rsidR="00851031" w:rsidRPr="00F11FDA" w:rsidTr="0010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rsidR="00851031" w:rsidRPr="00F11FDA" w:rsidRDefault="00851031" w:rsidP="00107A26">
            <w:pPr>
              <w:spacing w:before="120"/>
              <w:ind w:left="340" w:hanging="340"/>
              <w:rPr>
                <w:szCs w:val="22"/>
              </w:rPr>
            </w:pPr>
            <w:r w:rsidRPr="00F11FDA">
              <w:rPr>
                <w:szCs w:val="22"/>
              </w:rPr>
              <w:t>1.1 How relevant is the proposal to the objectives and priorities of the call for proposals?*</w:t>
            </w:r>
          </w:p>
        </w:tc>
        <w:tc>
          <w:tcPr>
            <w:tcW w:w="1260" w:type="dxa"/>
            <w:tcBorders>
              <w:top w:val="single" w:sz="4" w:space="0" w:color="auto"/>
              <w:left w:val="single" w:sz="4" w:space="0" w:color="auto"/>
              <w:right w:val="single" w:sz="4" w:space="0" w:color="auto"/>
            </w:tcBorders>
          </w:tcPr>
          <w:p w:rsidR="00851031" w:rsidRPr="00F11FDA" w:rsidRDefault="00851031" w:rsidP="00107A26">
            <w:pPr>
              <w:spacing w:before="120"/>
              <w:jc w:val="center"/>
              <w:rPr>
                <w:szCs w:val="22"/>
              </w:rPr>
            </w:pPr>
            <w:r w:rsidRPr="00F11FDA">
              <w:rPr>
                <w:szCs w:val="22"/>
              </w:rPr>
              <w:t>5x2**</w:t>
            </w:r>
          </w:p>
        </w:tc>
        <w:tc>
          <w:tcPr>
            <w:tcW w:w="529" w:type="dxa"/>
            <w:tcBorders>
              <w:top w:val="single" w:sz="4" w:space="0" w:color="auto"/>
              <w:left w:val="single" w:sz="4" w:space="0" w:color="auto"/>
              <w:right w:val="single" w:sz="4" w:space="0" w:color="auto"/>
            </w:tcBorders>
            <w:shd w:val="clear" w:color="auto" w:fill="auto"/>
          </w:tcPr>
          <w:p w:rsidR="00851031" w:rsidRPr="00F11FDA" w:rsidRDefault="00851031" w:rsidP="00107A26">
            <w:pPr>
              <w:spacing w:before="120"/>
              <w:jc w:val="center"/>
              <w:rPr>
                <w:szCs w:val="22"/>
                <w:u w:val="single"/>
              </w:rPr>
            </w:pPr>
          </w:p>
        </w:tc>
      </w:tr>
      <w:tr w:rsidR="00851031" w:rsidRPr="00F11FDA" w:rsidTr="0010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rsidR="00851031" w:rsidRPr="00F11FDA" w:rsidRDefault="00851031" w:rsidP="00107A26">
            <w:pPr>
              <w:spacing w:before="120"/>
              <w:ind w:left="340" w:hanging="340"/>
              <w:rPr>
                <w:szCs w:val="22"/>
              </w:rPr>
            </w:pPr>
            <w:r w:rsidRPr="00F11FDA">
              <w:rPr>
                <w:szCs w:val="22"/>
              </w:rPr>
              <w:t>1.2 How relevant to the particular needs and constraints</w:t>
            </w:r>
            <w:r w:rsidRPr="00F11FDA">
              <w:rPr>
                <w:b/>
                <w:szCs w:val="22"/>
              </w:rPr>
              <w:t xml:space="preserve"> </w:t>
            </w:r>
            <w:r w:rsidRPr="00F11FDA">
              <w:rPr>
                <w:szCs w:val="22"/>
              </w:rPr>
              <w:t xml:space="preserve">of the target </w:t>
            </w:r>
            <w:proofErr w:type="gramStart"/>
            <w:r w:rsidRPr="00F11FDA">
              <w:rPr>
                <w:szCs w:val="22"/>
              </w:rPr>
              <w:t>country(</w:t>
            </w:r>
            <w:proofErr w:type="spellStart"/>
            <w:proofErr w:type="gramEnd"/>
            <w:r w:rsidRPr="00F11FDA">
              <w:rPr>
                <w:szCs w:val="22"/>
              </w:rPr>
              <w:t>ies</w:t>
            </w:r>
            <w:proofErr w:type="spellEnd"/>
            <w:r w:rsidRPr="00F11FDA">
              <w:rPr>
                <w:szCs w:val="22"/>
              </w:rPr>
              <w:t>) or region(s) is the proposal (including synergy with other initiatives and avoidance of duplication)?</w:t>
            </w:r>
          </w:p>
        </w:tc>
        <w:tc>
          <w:tcPr>
            <w:tcW w:w="1260" w:type="dxa"/>
            <w:tcBorders>
              <w:left w:val="single" w:sz="4" w:space="0" w:color="auto"/>
              <w:right w:val="single" w:sz="4" w:space="0" w:color="auto"/>
            </w:tcBorders>
          </w:tcPr>
          <w:p w:rsidR="00851031" w:rsidRPr="00F11FDA" w:rsidRDefault="00851031" w:rsidP="00107A26">
            <w:pPr>
              <w:spacing w:before="120"/>
              <w:jc w:val="center"/>
              <w:rPr>
                <w:szCs w:val="22"/>
              </w:rPr>
            </w:pPr>
            <w:r w:rsidRPr="00F11FDA">
              <w:rPr>
                <w:szCs w:val="22"/>
              </w:rPr>
              <w:t>5x2**</w:t>
            </w:r>
          </w:p>
        </w:tc>
        <w:tc>
          <w:tcPr>
            <w:tcW w:w="529" w:type="dxa"/>
            <w:tcBorders>
              <w:left w:val="single" w:sz="4" w:space="0" w:color="auto"/>
              <w:right w:val="single" w:sz="4" w:space="0" w:color="auto"/>
            </w:tcBorders>
            <w:shd w:val="clear" w:color="auto" w:fill="auto"/>
          </w:tcPr>
          <w:p w:rsidR="00851031" w:rsidRPr="00F11FDA" w:rsidRDefault="00851031" w:rsidP="00107A26">
            <w:pPr>
              <w:spacing w:before="120"/>
              <w:jc w:val="center"/>
              <w:rPr>
                <w:szCs w:val="22"/>
                <w:u w:val="single"/>
              </w:rPr>
            </w:pPr>
          </w:p>
        </w:tc>
      </w:tr>
      <w:tr w:rsidR="00851031" w:rsidRPr="00F11FDA" w:rsidTr="00107A26">
        <w:trPr>
          <w:trHeight w:val="990"/>
        </w:trPr>
        <w:tc>
          <w:tcPr>
            <w:tcW w:w="8208" w:type="dxa"/>
            <w:tcBorders>
              <w:left w:val="single" w:sz="4" w:space="0" w:color="auto"/>
              <w:right w:val="single" w:sz="4" w:space="0" w:color="auto"/>
            </w:tcBorders>
          </w:tcPr>
          <w:p w:rsidR="00851031" w:rsidRPr="00F11FDA" w:rsidRDefault="00851031" w:rsidP="00107A26">
            <w:pPr>
              <w:spacing w:before="120"/>
              <w:ind w:left="340" w:hanging="340"/>
              <w:rPr>
                <w:szCs w:val="22"/>
              </w:rPr>
            </w:pPr>
            <w:r w:rsidRPr="00F11FDA">
              <w:rPr>
                <w:szCs w:val="22"/>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tcPr>
          <w:p w:rsidR="00851031" w:rsidRPr="00F11FDA" w:rsidDel="002D2C92" w:rsidRDefault="00851031" w:rsidP="00107A26">
            <w:pPr>
              <w:spacing w:before="120"/>
              <w:jc w:val="center"/>
              <w:rPr>
                <w:szCs w:val="22"/>
              </w:rPr>
            </w:pPr>
            <w:r w:rsidRPr="00F11FDA">
              <w:rPr>
                <w:szCs w:val="22"/>
              </w:rPr>
              <w:t>5</w:t>
            </w:r>
          </w:p>
        </w:tc>
        <w:tc>
          <w:tcPr>
            <w:tcW w:w="529" w:type="dxa"/>
            <w:tcBorders>
              <w:left w:val="single" w:sz="4" w:space="0" w:color="auto"/>
              <w:right w:val="single" w:sz="4" w:space="0" w:color="auto"/>
            </w:tcBorders>
            <w:shd w:val="clear" w:color="auto" w:fill="auto"/>
          </w:tcPr>
          <w:p w:rsidR="00851031" w:rsidRPr="00F11FDA" w:rsidRDefault="00851031" w:rsidP="00107A26">
            <w:pPr>
              <w:spacing w:before="120"/>
              <w:jc w:val="center"/>
              <w:rPr>
                <w:szCs w:val="22"/>
                <w:u w:val="single"/>
              </w:rPr>
            </w:pPr>
          </w:p>
        </w:tc>
      </w:tr>
      <w:tr w:rsidR="00851031" w:rsidRPr="00F11FDA" w:rsidTr="0010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rsidR="00851031" w:rsidRPr="00F11FDA" w:rsidRDefault="00851031" w:rsidP="00107A26">
            <w:pPr>
              <w:spacing w:before="120"/>
              <w:ind w:left="426" w:hanging="426"/>
              <w:rPr>
                <w:szCs w:val="22"/>
              </w:rPr>
            </w:pPr>
            <w:r w:rsidRPr="00F11FDA">
              <w:rPr>
                <w:szCs w:val="22"/>
              </w:rPr>
              <w:t>1.4 Does the proposal contain specific added-value elements, such as environmental issues, promotion of gender equality and equal opportunities, needs of disabled people, rights of minorities and rights of indigenous peoples, or innovation and best practices</w:t>
            </w:r>
            <w:r w:rsidRPr="00C046D4">
              <w:rPr>
                <w:szCs w:val="22"/>
              </w:rPr>
              <w:t xml:space="preserve"> and the other additional elements indicated under </w:t>
            </w:r>
            <w:proofErr w:type="gramStart"/>
            <w:r w:rsidRPr="00C046D4">
              <w:rPr>
                <w:szCs w:val="22"/>
              </w:rPr>
              <w:t>1.2.</w:t>
            </w:r>
            <w:proofErr w:type="gramEnd"/>
            <w:r w:rsidRPr="00C046D4">
              <w:rPr>
                <w:szCs w:val="22"/>
              </w:rPr>
              <w:t xml:space="preserve"> </w:t>
            </w:r>
            <w:proofErr w:type="gramStart"/>
            <w:r w:rsidRPr="00C046D4">
              <w:rPr>
                <w:szCs w:val="22"/>
              </w:rPr>
              <w:t>of</w:t>
            </w:r>
            <w:proofErr w:type="gramEnd"/>
            <w:r w:rsidRPr="00C046D4">
              <w:rPr>
                <w:szCs w:val="22"/>
              </w:rPr>
              <w:t xml:space="preserve"> the guidelines for applicants</w:t>
            </w:r>
            <w:r w:rsidRPr="00F11FDA">
              <w:rPr>
                <w:szCs w:val="22"/>
              </w:rPr>
              <w:t>?</w:t>
            </w:r>
          </w:p>
        </w:tc>
        <w:tc>
          <w:tcPr>
            <w:tcW w:w="1260" w:type="dxa"/>
            <w:tcBorders>
              <w:top w:val="single" w:sz="4" w:space="0" w:color="auto"/>
              <w:left w:val="single" w:sz="4" w:space="0" w:color="auto"/>
              <w:right w:val="single" w:sz="4" w:space="0" w:color="auto"/>
            </w:tcBorders>
          </w:tcPr>
          <w:p w:rsidR="00851031" w:rsidRPr="00F11FDA" w:rsidRDefault="00851031" w:rsidP="00107A26">
            <w:pPr>
              <w:spacing w:before="120"/>
              <w:jc w:val="center"/>
              <w:rPr>
                <w:szCs w:val="22"/>
              </w:rPr>
            </w:pPr>
            <w:r w:rsidRPr="00F11FDA">
              <w:rPr>
                <w:szCs w:val="22"/>
              </w:rPr>
              <w:t>5</w:t>
            </w:r>
          </w:p>
        </w:tc>
        <w:tc>
          <w:tcPr>
            <w:tcW w:w="529" w:type="dxa"/>
            <w:tcBorders>
              <w:left w:val="single" w:sz="4" w:space="0" w:color="auto"/>
              <w:right w:val="single" w:sz="4" w:space="0" w:color="auto"/>
            </w:tcBorders>
            <w:shd w:val="clear" w:color="auto" w:fill="auto"/>
          </w:tcPr>
          <w:p w:rsidR="00851031" w:rsidRPr="00F11FDA" w:rsidRDefault="00851031" w:rsidP="00107A26">
            <w:pPr>
              <w:spacing w:before="120"/>
              <w:jc w:val="center"/>
              <w:rPr>
                <w:szCs w:val="22"/>
                <w:u w:val="single"/>
              </w:rPr>
            </w:pPr>
          </w:p>
        </w:tc>
      </w:tr>
      <w:tr w:rsidR="00851031" w:rsidRPr="00F11FDA" w:rsidTr="0010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rsidR="00851031" w:rsidRPr="00F11FDA" w:rsidRDefault="00851031" w:rsidP="00107A26">
            <w:pPr>
              <w:spacing w:before="120"/>
              <w:rPr>
                <w:b/>
                <w:szCs w:val="22"/>
              </w:rPr>
            </w:pPr>
            <w:r w:rsidRPr="00F11FDA">
              <w:rPr>
                <w:b/>
                <w:szCs w:val="22"/>
              </w:rPr>
              <w:t>2. Design of the action</w:t>
            </w:r>
          </w:p>
        </w:tc>
        <w:tc>
          <w:tcPr>
            <w:tcW w:w="1260" w:type="dxa"/>
            <w:tcBorders>
              <w:bottom w:val="single" w:sz="4" w:space="0" w:color="auto"/>
            </w:tcBorders>
          </w:tcPr>
          <w:p w:rsidR="00851031" w:rsidRPr="00F11FDA" w:rsidRDefault="00851031" w:rsidP="00107A26">
            <w:pPr>
              <w:spacing w:before="120"/>
              <w:jc w:val="center"/>
              <w:rPr>
                <w:szCs w:val="22"/>
              </w:rPr>
            </w:pPr>
            <w:r w:rsidRPr="00F11FDA">
              <w:rPr>
                <w:szCs w:val="22"/>
              </w:rPr>
              <w:t>Sub-score</w:t>
            </w:r>
          </w:p>
        </w:tc>
        <w:tc>
          <w:tcPr>
            <w:tcW w:w="529" w:type="dxa"/>
            <w:tcBorders>
              <w:bottom w:val="single" w:sz="4" w:space="0" w:color="auto"/>
            </w:tcBorders>
          </w:tcPr>
          <w:p w:rsidR="00851031" w:rsidRPr="00F11FDA" w:rsidRDefault="00851031" w:rsidP="00107A26">
            <w:pPr>
              <w:spacing w:before="120"/>
              <w:jc w:val="center"/>
              <w:rPr>
                <w:b/>
                <w:szCs w:val="22"/>
              </w:rPr>
            </w:pPr>
            <w:r w:rsidRPr="00F11FDA">
              <w:rPr>
                <w:b/>
                <w:szCs w:val="22"/>
              </w:rPr>
              <w:t>20</w:t>
            </w:r>
          </w:p>
        </w:tc>
      </w:tr>
      <w:tr w:rsidR="00851031" w:rsidRPr="00F11FDA" w:rsidTr="0010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rsidR="00851031" w:rsidRPr="00F11FDA" w:rsidRDefault="00851031" w:rsidP="00107A26">
            <w:pPr>
              <w:spacing w:before="120"/>
              <w:ind w:left="340" w:hanging="340"/>
              <w:rPr>
                <w:szCs w:val="22"/>
              </w:rPr>
            </w:pPr>
            <w:r w:rsidRPr="00F11FDA">
              <w:rPr>
                <w:szCs w:val="22"/>
              </w:rPr>
              <w:t xml:space="preserve">2.1 How coherent is the overall design of the action? </w:t>
            </w:r>
          </w:p>
          <w:p w:rsidR="00851031" w:rsidRPr="00F11FDA" w:rsidRDefault="00851031" w:rsidP="00107A26">
            <w:pPr>
              <w:spacing w:before="120"/>
              <w:ind w:left="284"/>
              <w:rPr>
                <w:szCs w:val="22"/>
              </w:rPr>
            </w:pPr>
            <w:r w:rsidRPr="00F11FDA">
              <w:rPr>
                <w:szCs w:val="22"/>
              </w:rPr>
              <w:t xml:space="preserve">In particular, does it reflect the analysis of the problems involved, 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tcPr>
          <w:p w:rsidR="00851031" w:rsidRPr="00F11FDA" w:rsidRDefault="00851031" w:rsidP="00107A26">
            <w:pPr>
              <w:spacing w:before="120"/>
              <w:jc w:val="center"/>
              <w:rPr>
                <w:szCs w:val="22"/>
              </w:rPr>
            </w:pPr>
            <w:r w:rsidRPr="00F11FDA">
              <w:rPr>
                <w:szCs w:val="22"/>
              </w:rPr>
              <w:t>5x2**</w:t>
            </w:r>
          </w:p>
        </w:tc>
        <w:tc>
          <w:tcPr>
            <w:tcW w:w="529" w:type="dxa"/>
            <w:vMerge w:val="restart"/>
            <w:tcBorders>
              <w:top w:val="single" w:sz="4" w:space="0" w:color="auto"/>
              <w:left w:val="single" w:sz="4" w:space="0" w:color="auto"/>
              <w:right w:val="single" w:sz="4" w:space="0" w:color="auto"/>
            </w:tcBorders>
            <w:shd w:val="clear" w:color="auto" w:fill="auto"/>
          </w:tcPr>
          <w:p w:rsidR="00851031" w:rsidRPr="00F11FDA" w:rsidRDefault="00851031" w:rsidP="00107A26">
            <w:pPr>
              <w:spacing w:before="120"/>
              <w:jc w:val="center"/>
              <w:rPr>
                <w:szCs w:val="22"/>
                <w:u w:val="single"/>
              </w:rPr>
            </w:pPr>
          </w:p>
        </w:tc>
      </w:tr>
      <w:tr w:rsidR="00851031" w:rsidRPr="00F11FDA" w:rsidTr="00107A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rsidR="00851031" w:rsidRPr="00865AE4" w:rsidRDefault="00851031" w:rsidP="00107A26">
            <w:pPr>
              <w:spacing w:before="120"/>
              <w:ind w:left="426" w:hanging="426"/>
              <w:rPr>
                <w:strike/>
                <w:color w:val="FF0000"/>
                <w:szCs w:val="22"/>
              </w:rPr>
            </w:pPr>
            <w:r w:rsidRPr="00F11FDA">
              <w:rPr>
                <w:szCs w:val="22"/>
              </w:rPr>
              <w:t>2.2 Is the action feasible and consistent in relation to the objectives and expected results?</w:t>
            </w:r>
          </w:p>
        </w:tc>
        <w:tc>
          <w:tcPr>
            <w:tcW w:w="1260" w:type="dxa"/>
            <w:tcBorders>
              <w:top w:val="single" w:sz="4" w:space="0" w:color="auto"/>
              <w:left w:val="single" w:sz="4" w:space="0" w:color="auto"/>
              <w:right w:val="single" w:sz="4" w:space="0" w:color="auto"/>
            </w:tcBorders>
          </w:tcPr>
          <w:p w:rsidR="00851031" w:rsidRPr="00F11FDA" w:rsidRDefault="00851031" w:rsidP="00107A26">
            <w:pPr>
              <w:spacing w:before="120"/>
              <w:jc w:val="center"/>
              <w:rPr>
                <w:szCs w:val="22"/>
              </w:rPr>
            </w:pPr>
            <w:r w:rsidRPr="00F11FDA">
              <w:rPr>
                <w:szCs w:val="22"/>
              </w:rPr>
              <w:t>5x2**</w:t>
            </w:r>
          </w:p>
        </w:tc>
        <w:tc>
          <w:tcPr>
            <w:tcW w:w="529" w:type="dxa"/>
            <w:vMerge/>
            <w:tcBorders>
              <w:left w:val="single" w:sz="4" w:space="0" w:color="auto"/>
              <w:right w:val="single" w:sz="4" w:space="0" w:color="auto"/>
            </w:tcBorders>
            <w:shd w:val="clear" w:color="auto" w:fill="auto"/>
          </w:tcPr>
          <w:p w:rsidR="00851031" w:rsidRPr="00F11FDA" w:rsidRDefault="00851031" w:rsidP="00107A26">
            <w:pPr>
              <w:spacing w:before="120"/>
              <w:jc w:val="center"/>
              <w:rPr>
                <w:szCs w:val="22"/>
                <w:u w:val="single"/>
              </w:rPr>
            </w:pPr>
          </w:p>
        </w:tc>
      </w:tr>
      <w:tr w:rsidR="00851031" w:rsidRPr="00F11FDA" w:rsidTr="00107A26">
        <w:trPr>
          <w:trHeight w:val="395"/>
        </w:trPr>
        <w:tc>
          <w:tcPr>
            <w:tcW w:w="8208" w:type="dxa"/>
            <w:tcBorders>
              <w:top w:val="single" w:sz="4" w:space="0" w:color="auto"/>
            </w:tcBorders>
          </w:tcPr>
          <w:p w:rsidR="00851031" w:rsidRPr="00F11FDA" w:rsidRDefault="00851031" w:rsidP="00107A26">
            <w:pPr>
              <w:spacing w:before="120"/>
              <w:jc w:val="right"/>
              <w:rPr>
                <w:b/>
                <w:szCs w:val="22"/>
              </w:rPr>
            </w:pPr>
            <w:r w:rsidRPr="00F11FDA">
              <w:rPr>
                <w:b/>
                <w:szCs w:val="22"/>
              </w:rPr>
              <w:t>TOTAL SCORE</w:t>
            </w:r>
          </w:p>
        </w:tc>
        <w:tc>
          <w:tcPr>
            <w:tcW w:w="1260" w:type="dxa"/>
          </w:tcPr>
          <w:p w:rsidR="00851031" w:rsidRPr="00F11FDA" w:rsidRDefault="00851031" w:rsidP="00107A26">
            <w:pPr>
              <w:spacing w:before="120"/>
              <w:jc w:val="center"/>
              <w:rPr>
                <w:b/>
                <w:szCs w:val="22"/>
              </w:rPr>
            </w:pPr>
          </w:p>
        </w:tc>
        <w:tc>
          <w:tcPr>
            <w:tcW w:w="529" w:type="dxa"/>
          </w:tcPr>
          <w:p w:rsidR="00851031" w:rsidRPr="00F11FDA" w:rsidRDefault="00851031" w:rsidP="00107A26">
            <w:pPr>
              <w:spacing w:before="120"/>
              <w:jc w:val="center"/>
              <w:rPr>
                <w:b/>
                <w:szCs w:val="22"/>
              </w:rPr>
            </w:pPr>
            <w:r w:rsidRPr="00F11FDA">
              <w:rPr>
                <w:b/>
                <w:szCs w:val="22"/>
              </w:rPr>
              <w:t>50</w:t>
            </w:r>
          </w:p>
        </w:tc>
      </w:tr>
    </w:tbl>
    <w:p w:rsidR="00851031" w:rsidRDefault="00851031" w:rsidP="00851031"/>
    <w:p w:rsidR="00851031" w:rsidRDefault="00851031" w:rsidP="00851031"/>
    <w:p w:rsidR="00851031" w:rsidRDefault="00851031" w:rsidP="00851031"/>
    <w:p w:rsidR="00851031" w:rsidRDefault="00851031" w:rsidP="00851031"/>
    <w:p w:rsidR="00851031" w:rsidRPr="0062522D" w:rsidRDefault="00851031" w:rsidP="00851031">
      <w:r>
        <w:t>*</w:t>
      </w:r>
      <w:r w:rsidRPr="0062522D">
        <w:t xml:space="preserve">Note: </w:t>
      </w:r>
      <w:r w:rsidRPr="0062522D">
        <w:rPr>
          <w:snapToGrid/>
          <w:lang w:eastAsia="en-GB"/>
        </w:rPr>
        <w:t xml:space="preserve">A score of 5 (very good) will only be allocated if the proposal specifically addresses </w:t>
      </w:r>
      <w:r w:rsidRPr="0062522D">
        <w:rPr>
          <w:bCs/>
          <w:snapToGrid/>
          <w:lang w:eastAsia="en-GB"/>
        </w:rPr>
        <w:t>more than one priority as indicated in Section 1.2 (objectives of the programme) of these guidelines</w:t>
      </w:r>
      <w:r w:rsidRPr="0062522D">
        <w:t>.</w:t>
      </w:r>
    </w:p>
    <w:p w:rsidR="00851031" w:rsidRPr="00F11FDA" w:rsidRDefault="00851031" w:rsidP="00851031">
      <w:r w:rsidRPr="00F11FDA">
        <w:t>**these scores are multiplied by 2 because of their importance</w:t>
      </w:r>
    </w:p>
    <w:p w:rsidR="00851031" w:rsidRPr="00F11FDA" w:rsidRDefault="00851031" w:rsidP="00851031">
      <w:r w:rsidRPr="00F11FDA">
        <w:t xml:space="preserve">Once all concept notes have been assessed, a list will be drawn up with the proposed actions ranked according to their total score. </w:t>
      </w:r>
    </w:p>
    <w:p w:rsidR="00851031" w:rsidRPr="00F11FDA" w:rsidRDefault="00851031" w:rsidP="00851031">
      <w:r w:rsidRPr="00F11FDA">
        <w:t xml:space="preserve">Firstly, only the concept notes with a score of at least 30 will be considered for pre-selection. </w:t>
      </w:r>
    </w:p>
    <w:p w:rsidR="00851031" w:rsidRDefault="00851031" w:rsidP="00851031">
      <w:r w:rsidRPr="0062522D">
        <w:t xml:space="preserve">Secondly, the number of concept notes will be reduced, taking account of the ranking, to the number of concept notes whose total aggregate amount of requested contributions is equal to </w:t>
      </w:r>
      <w:r w:rsidRPr="00837950">
        <w:t>300%</w:t>
      </w:r>
      <w:r w:rsidRPr="0062522D">
        <w:t xml:space="preserve"> of the available budget for this call for proposals. The amount of requested contributions of each concept note will be based on the indicative financial envelopes for each lot, where relevant.</w:t>
      </w:r>
      <w:r>
        <w:t xml:space="preserve"> </w:t>
      </w:r>
    </w:p>
    <w:p w:rsidR="00851031" w:rsidRPr="00F11FDA" w:rsidRDefault="00851031" w:rsidP="00851031">
      <w:r w:rsidRPr="00F11FDA">
        <w:t xml:space="preserve">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w:t>
      </w:r>
    </w:p>
    <w:p w:rsidR="00851031" w:rsidRPr="00F11FDA" w:rsidRDefault="00851031" w:rsidP="00851031">
      <w:r w:rsidRPr="00F11FDA">
        <w:t>The evaluation committee will then proceed with the lead applicants whose proposals have been pre-selected.</w:t>
      </w:r>
    </w:p>
    <w:p w:rsidR="00851031" w:rsidRPr="00F11FDA" w:rsidRDefault="00851031" w:rsidP="00851031"/>
    <w:p w:rsidR="00851031" w:rsidRPr="00F11FDA" w:rsidRDefault="00851031" w:rsidP="00851031">
      <w:pPr>
        <w:numPr>
          <w:ilvl w:val="0"/>
          <w:numId w:val="21"/>
        </w:numPr>
        <w:spacing w:before="240"/>
        <w:ind w:left="357" w:hanging="357"/>
        <w:jc w:val="left"/>
        <w:rPr>
          <w:b/>
          <w:sz w:val="24"/>
          <w:szCs w:val="24"/>
        </w:rPr>
      </w:pPr>
      <w:r w:rsidRPr="00F11FDA">
        <w:rPr>
          <w:b/>
          <w:sz w:val="24"/>
          <w:szCs w:val="24"/>
        </w:rPr>
        <w:br w:type="page"/>
        <w:t xml:space="preserve">STEP 2: EVALUATION OF THE FULL APPLICATION </w:t>
      </w:r>
    </w:p>
    <w:p w:rsidR="00851031" w:rsidRPr="00F11FDA" w:rsidRDefault="00851031" w:rsidP="00851031">
      <w:r w:rsidRPr="00F11FDA">
        <w:rPr>
          <w:szCs w:val="24"/>
        </w:rPr>
        <w:t xml:space="preserve">Firstly, </w:t>
      </w:r>
      <w:r w:rsidRPr="00F11FDA">
        <w:t>the following will be assessed:</w:t>
      </w:r>
    </w:p>
    <w:p w:rsidR="00851031" w:rsidRPr="00F11FDA" w:rsidRDefault="00851031" w:rsidP="00851031">
      <w:pPr>
        <w:numPr>
          <w:ilvl w:val="0"/>
          <w:numId w:val="23"/>
        </w:numPr>
      </w:pPr>
      <w:r w:rsidRPr="00F11FDA">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0F11FDA">
        <w:rPr>
          <w:b/>
          <w:u w:val="single"/>
        </w:rPr>
        <w:t>sole</w:t>
      </w:r>
      <w:r w:rsidRPr="00F11FDA">
        <w:t xml:space="preserve"> basis and the application will not be evaluated further.</w:t>
      </w:r>
    </w:p>
    <w:p w:rsidR="00851031" w:rsidRPr="00F11FDA" w:rsidRDefault="00851031" w:rsidP="00851031">
      <w:r w:rsidRPr="00F11FDA">
        <w:t xml:space="preserve">The full applications that pass this check will be further evaluated on their quality, including the proposed budget and capacity of the applicants and affiliated </w:t>
      </w:r>
      <w:proofErr w:type="gramStart"/>
      <w:r w:rsidRPr="00F11FDA">
        <w:t>entity(</w:t>
      </w:r>
      <w:proofErr w:type="spellStart"/>
      <w:proofErr w:type="gramEnd"/>
      <w:r w:rsidRPr="00F11FDA">
        <w:t>ies</w:t>
      </w:r>
      <w:proofErr w:type="spellEnd"/>
      <w:r w:rsidRPr="00F11FDA">
        <w:t>). They will be evaluated using the evaluation criteria in the evaluation grid below. There are two types of evaluation criteria: selection and award criteria.</w:t>
      </w:r>
    </w:p>
    <w:p w:rsidR="00851031" w:rsidRPr="00F11FDA" w:rsidRDefault="00851031" w:rsidP="00851031">
      <w:r w:rsidRPr="00F11FDA">
        <w:rPr>
          <w:b/>
          <w:u w:val="single"/>
        </w:rPr>
        <w:t>The selection criteria</w:t>
      </w:r>
      <w:r w:rsidRPr="00F11FDA">
        <w:t xml:space="preserve"> help to evaluate the applicant(s)'s and affiliated </w:t>
      </w:r>
      <w:proofErr w:type="gramStart"/>
      <w:r w:rsidRPr="00F11FDA">
        <w:t>entity(</w:t>
      </w:r>
      <w:proofErr w:type="spellStart"/>
      <w:proofErr w:type="gramEnd"/>
      <w:r w:rsidRPr="00F11FDA">
        <w:t>ies</w:t>
      </w:r>
      <w:proofErr w:type="spellEnd"/>
      <w:r w:rsidRPr="00F11FDA">
        <w:t>)'s operational capacity and the lead applicant's financial capacity and are used to verify that they:</w:t>
      </w:r>
    </w:p>
    <w:p w:rsidR="00851031" w:rsidRPr="00F11FDA" w:rsidRDefault="00851031" w:rsidP="00851031">
      <w:pPr>
        <w:numPr>
          <w:ilvl w:val="0"/>
          <w:numId w:val="24"/>
        </w:numPr>
      </w:pPr>
      <w:r w:rsidRPr="00F11FDA">
        <w:t>have stable and sufficient sources of finance to maintain their activity throughout the proposed action and, where appropriate, to participate in its funding (this only applies to lead applicants);</w:t>
      </w:r>
    </w:p>
    <w:p w:rsidR="00851031" w:rsidRPr="00F11FDA" w:rsidRDefault="00851031" w:rsidP="00851031">
      <w:pPr>
        <w:numPr>
          <w:ilvl w:val="0"/>
          <w:numId w:val="24"/>
        </w:numPr>
      </w:pPr>
      <w:proofErr w:type="gramStart"/>
      <w:r w:rsidRPr="00F11FDA">
        <w:t>have</w:t>
      </w:r>
      <w:proofErr w:type="gramEnd"/>
      <w:r w:rsidRPr="00F11FDA">
        <w:t xml:space="preserve"> the management capacity, professional competencies and qualifications required to successfully complete the proposed action. This applies to applicants and any affiliated </w:t>
      </w:r>
      <w:proofErr w:type="gramStart"/>
      <w:r w:rsidRPr="00F11FDA">
        <w:t>entity(</w:t>
      </w:r>
      <w:proofErr w:type="spellStart"/>
      <w:proofErr w:type="gramEnd"/>
      <w:r w:rsidRPr="00F11FDA">
        <w:t>ies</w:t>
      </w:r>
      <w:proofErr w:type="spellEnd"/>
      <w:r w:rsidRPr="00F11FDA">
        <w:t>).</w:t>
      </w:r>
    </w:p>
    <w:p w:rsidR="00851031" w:rsidRPr="00F11FDA" w:rsidRDefault="00851031" w:rsidP="00851031">
      <w:r w:rsidRPr="00F11FDA">
        <w:rPr>
          <w:b/>
          <w:u w:val="single"/>
        </w:rPr>
        <w:t>The award criteria</w:t>
      </w:r>
      <w:r w:rsidRPr="00F11FDA">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rsidR="00851031" w:rsidRPr="00F11FDA" w:rsidRDefault="00851031" w:rsidP="00851031">
      <w:pPr>
        <w:rPr>
          <w:i/>
        </w:rPr>
      </w:pPr>
      <w:r w:rsidRPr="00F11FDA">
        <w:rPr>
          <w:i/>
        </w:rPr>
        <w:t>Scoring:</w:t>
      </w:r>
    </w:p>
    <w:p w:rsidR="00851031" w:rsidRPr="00F11FDA" w:rsidRDefault="00851031" w:rsidP="00851031">
      <w:r w:rsidRPr="00F11FDA">
        <w:t xml:space="preserve">The evaluation grid is divided into sections and subsections. Each subsection will be given a score between 1 and 5 as follows: 1 = very poor; 2 = poor; 3 = adequate; 4 = good; 5 = very good. </w:t>
      </w:r>
    </w:p>
    <w:p w:rsidR="00851031" w:rsidRPr="00F11FDA" w:rsidRDefault="00851031" w:rsidP="00851031">
      <w:pPr>
        <w:rPr>
          <w:b/>
        </w:rPr>
      </w:pPr>
      <w:r w:rsidRPr="00F11FDA">
        <w:rPr>
          <w:b/>
        </w:rPr>
        <w:br w:type="page"/>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851031" w:rsidRPr="00F11FDA" w:rsidTr="00107A26">
        <w:tc>
          <w:tcPr>
            <w:tcW w:w="8472" w:type="dxa"/>
            <w:vAlign w:val="center"/>
          </w:tcPr>
          <w:p w:rsidR="00851031" w:rsidRPr="00F11FDA" w:rsidRDefault="00851031" w:rsidP="00107A26">
            <w:pPr>
              <w:spacing w:before="120"/>
              <w:rPr>
                <w:b/>
                <w:szCs w:val="22"/>
              </w:rPr>
            </w:pPr>
            <w:r w:rsidRPr="00F11FDA">
              <w:rPr>
                <w:b/>
                <w:szCs w:val="22"/>
              </w:rPr>
              <w:t>Section</w:t>
            </w:r>
          </w:p>
        </w:tc>
        <w:tc>
          <w:tcPr>
            <w:tcW w:w="1275" w:type="dxa"/>
            <w:vAlign w:val="center"/>
          </w:tcPr>
          <w:p w:rsidR="00851031" w:rsidRPr="00F11FDA" w:rsidRDefault="00851031" w:rsidP="00107A26">
            <w:pPr>
              <w:spacing w:before="120"/>
              <w:jc w:val="center"/>
              <w:rPr>
                <w:b/>
                <w:szCs w:val="22"/>
              </w:rPr>
            </w:pPr>
            <w:r w:rsidRPr="00F11FDA">
              <w:rPr>
                <w:b/>
                <w:szCs w:val="22"/>
              </w:rPr>
              <w:t>Maximum Score</w:t>
            </w:r>
          </w:p>
        </w:tc>
      </w:tr>
      <w:tr w:rsidR="00851031" w:rsidRPr="00F11FDA" w:rsidTr="00107A26">
        <w:tc>
          <w:tcPr>
            <w:tcW w:w="8472" w:type="dxa"/>
            <w:shd w:val="pct10" w:color="auto" w:fill="FFFFFF"/>
            <w:vAlign w:val="center"/>
          </w:tcPr>
          <w:p w:rsidR="00851031" w:rsidRPr="00F11FDA" w:rsidRDefault="00851031" w:rsidP="00107A26">
            <w:pPr>
              <w:spacing w:before="120"/>
              <w:rPr>
                <w:szCs w:val="22"/>
              </w:rPr>
            </w:pPr>
            <w:r w:rsidRPr="00F11FDA">
              <w:rPr>
                <w:b/>
                <w:szCs w:val="22"/>
              </w:rPr>
              <w:t>1. Financial and operational capacity</w:t>
            </w:r>
          </w:p>
        </w:tc>
        <w:tc>
          <w:tcPr>
            <w:tcW w:w="1275" w:type="dxa"/>
            <w:shd w:val="pct10" w:color="auto" w:fill="FFFFFF"/>
            <w:vAlign w:val="center"/>
          </w:tcPr>
          <w:p w:rsidR="00851031" w:rsidRPr="00F11FDA" w:rsidRDefault="00851031" w:rsidP="00107A26">
            <w:pPr>
              <w:spacing w:before="120"/>
              <w:jc w:val="center"/>
              <w:rPr>
                <w:b/>
                <w:szCs w:val="22"/>
              </w:rPr>
            </w:pPr>
            <w:r w:rsidRPr="00F11FDA">
              <w:rPr>
                <w:b/>
                <w:szCs w:val="22"/>
              </w:rPr>
              <w:t>20</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 xml:space="preserve">1.1 Do the applicants and, if applicable, their affiliated </w:t>
            </w:r>
            <w:proofErr w:type="gramStart"/>
            <w:r w:rsidRPr="00F11FDA">
              <w:rPr>
                <w:szCs w:val="22"/>
              </w:rPr>
              <w:t>entity(</w:t>
            </w:r>
            <w:proofErr w:type="spellStart"/>
            <w:proofErr w:type="gramEnd"/>
            <w:r w:rsidRPr="00F11FDA">
              <w:rPr>
                <w:szCs w:val="22"/>
              </w:rPr>
              <w:t>ies</w:t>
            </w:r>
            <w:proofErr w:type="spellEnd"/>
            <w:r w:rsidRPr="00F11FDA">
              <w:rPr>
                <w:szCs w:val="22"/>
              </w:rPr>
              <w:t>) have sufficient experience of project</w:t>
            </w:r>
            <w:r w:rsidRPr="00F11FDA">
              <w:rPr>
                <w:b/>
                <w:szCs w:val="22"/>
              </w:rPr>
              <w:t xml:space="preserve"> </w:t>
            </w:r>
            <w:r w:rsidRPr="00F11FDA">
              <w:rPr>
                <w:szCs w:val="22"/>
              </w:rPr>
              <w:t xml:space="preserve">management? </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 xml:space="preserve">1.2 Do the applicants and, if applicable, their affiliated </w:t>
            </w:r>
            <w:proofErr w:type="gramStart"/>
            <w:r w:rsidRPr="00F11FDA">
              <w:rPr>
                <w:szCs w:val="22"/>
              </w:rPr>
              <w:t>entity(</w:t>
            </w:r>
            <w:proofErr w:type="spellStart"/>
            <w:proofErr w:type="gramEnd"/>
            <w:r w:rsidRPr="00F11FDA">
              <w:rPr>
                <w:szCs w:val="22"/>
              </w:rPr>
              <w:t>ies</w:t>
            </w:r>
            <w:proofErr w:type="spellEnd"/>
            <w:r w:rsidRPr="00F11FDA">
              <w:rPr>
                <w:szCs w:val="22"/>
              </w:rPr>
              <w:t>) have sufficient technical expertise? (especially knowledge of the issues to be addressed)</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Borders>
              <w:bottom w:val="nil"/>
            </w:tcBorders>
          </w:tcPr>
          <w:p w:rsidR="00851031" w:rsidRPr="00F11FDA" w:rsidRDefault="00851031" w:rsidP="00107A26">
            <w:pPr>
              <w:spacing w:before="120"/>
              <w:ind w:left="340" w:hanging="340"/>
              <w:jc w:val="left"/>
              <w:rPr>
                <w:szCs w:val="22"/>
              </w:rPr>
            </w:pPr>
            <w:r w:rsidRPr="00F11FDA">
              <w:rPr>
                <w:szCs w:val="22"/>
              </w:rPr>
              <w:t xml:space="preserve">1.3 Do the applicants and, if applicable, their affiliated </w:t>
            </w:r>
            <w:proofErr w:type="gramStart"/>
            <w:r w:rsidRPr="00F11FDA">
              <w:rPr>
                <w:szCs w:val="22"/>
              </w:rPr>
              <w:t>entity(</w:t>
            </w:r>
            <w:proofErr w:type="spellStart"/>
            <w:proofErr w:type="gramEnd"/>
            <w:r w:rsidRPr="00F11FDA">
              <w:rPr>
                <w:szCs w:val="22"/>
              </w:rPr>
              <w:t>ies</w:t>
            </w:r>
            <w:proofErr w:type="spellEnd"/>
            <w:r w:rsidRPr="00F11FDA">
              <w:rPr>
                <w:szCs w:val="22"/>
              </w:rPr>
              <w:t xml:space="preserve">) have sufficient management capacity? </w:t>
            </w:r>
            <w:r w:rsidRPr="00F11FDA">
              <w:rPr>
                <w:szCs w:val="22"/>
              </w:rPr>
              <w:br/>
              <w:t>(Including staff, equipment and ability to handle the budget for the action)?</w:t>
            </w:r>
          </w:p>
        </w:tc>
        <w:tc>
          <w:tcPr>
            <w:tcW w:w="1275" w:type="dxa"/>
            <w:tcBorders>
              <w:bottom w:val="nil"/>
            </w:tcBorders>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Borders>
              <w:bottom w:val="single" w:sz="4" w:space="0" w:color="auto"/>
            </w:tcBorders>
          </w:tcPr>
          <w:p w:rsidR="00851031" w:rsidRPr="00F11FDA" w:rsidRDefault="00851031" w:rsidP="00107A26">
            <w:pPr>
              <w:spacing w:before="120"/>
              <w:ind w:left="340" w:hanging="340"/>
              <w:rPr>
                <w:szCs w:val="22"/>
              </w:rPr>
            </w:pPr>
            <w:r w:rsidRPr="00F11FDA">
              <w:rPr>
                <w:szCs w:val="22"/>
              </w:rPr>
              <w:t>1.4 Does the lead applicant have stable and sufficient sources of finance?</w:t>
            </w:r>
          </w:p>
        </w:tc>
        <w:tc>
          <w:tcPr>
            <w:tcW w:w="1275" w:type="dxa"/>
            <w:tcBorders>
              <w:bottom w:val="single" w:sz="4" w:space="0" w:color="auto"/>
            </w:tcBorders>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Borders>
              <w:bottom w:val="single" w:sz="4" w:space="0" w:color="auto"/>
            </w:tcBorders>
            <w:shd w:val="pct10" w:color="auto" w:fill="FFFFFF"/>
          </w:tcPr>
          <w:p w:rsidR="00851031" w:rsidRPr="00F11FDA" w:rsidRDefault="00851031" w:rsidP="00107A26">
            <w:pPr>
              <w:spacing w:before="120"/>
              <w:rPr>
                <w:szCs w:val="22"/>
              </w:rPr>
            </w:pPr>
            <w:r w:rsidRPr="00F11FDA">
              <w:rPr>
                <w:b/>
                <w:szCs w:val="22"/>
              </w:rPr>
              <w:t>2. Relevance of the action</w:t>
            </w:r>
          </w:p>
        </w:tc>
        <w:tc>
          <w:tcPr>
            <w:tcW w:w="1275" w:type="dxa"/>
            <w:tcBorders>
              <w:bottom w:val="single" w:sz="4" w:space="0" w:color="auto"/>
            </w:tcBorders>
            <w:shd w:val="pct10" w:color="auto" w:fill="FFFFFF"/>
            <w:vAlign w:val="center"/>
          </w:tcPr>
          <w:p w:rsidR="00851031" w:rsidRPr="00F11FDA" w:rsidRDefault="00851031" w:rsidP="00107A26">
            <w:pPr>
              <w:spacing w:before="120"/>
              <w:jc w:val="center"/>
              <w:rPr>
                <w:b/>
                <w:szCs w:val="22"/>
              </w:rPr>
            </w:pPr>
            <w:r w:rsidRPr="00F11FDA">
              <w:rPr>
                <w:b/>
                <w:szCs w:val="22"/>
              </w:rPr>
              <w:t>30</w:t>
            </w:r>
          </w:p>
        </w:tc>
      </w:tr>
      <w:tr w:rsidR="00851031" w:rsidRPr="00F11FDA" w:rsidTr="00107A26">
        <w:tc>
          <w:tcPr>
            <w:tcW w:w="8472" w:type="dxa"/>
            <w:shd w:val="clear" w:color="auto" w:fill="FFFFFF"/>
          </w:tcPr>
          <w:p w:rsidR="00851031" w:rsidRPr="00F11FDA" w:rsidRDefault="00851031" w:rsidP="00107A26">
            <w:pPr>
              <w:spacing w:before="120"/>
              <w:rPr>
                <w:i/>
                <w:szCs w:val="22"/>
              </w:rPr>
            </w:pPr>
            <w:r w:rsidRPr="00F11FDA">
              <w:rPr>
                <w:i/>
                <w:szCs w:val="22"/>
              </w:rPr>
              <w:t>Score transferred from the Concept Note evaluation</w:t>
            </w:r>
          </w:p>
        </w:tc>
        <w:tc>
          <w:tcPr>
            <w:tcW w:w="1275" w:type="dxa"/>
            <w:shd w:val="clear" w:color="auto" w:fill="FFFFFF"/>
            <w:vAlign w:val="center"/>
          </w:tcPr>
          <w:p w:rsidR="00851031" w:rsidRPr="00C046D4" w:rsidRDefault="00851031" w:rsidP="00107A26">
            <w:pPr>
              <w:spacing w:before="120"/>
              <w:jc w:val="center"/>
              <w:rPr>
                <w:i/>
                <w:szCs w:val="22"/>
              </w:rPr>
            </w:pPr>
            <w:r w:rsidRPr="00C046D4">
              <w:rPr>
                <w:i/>
                <w:szCs w:val="22"/>
              </w:rPr>
              <w:t>30</w:t>
            </w:r>
          </w:p>
        </w:tc>
      </w:tr>
      <w:tr w:rsidR="00851031" w:rsidRPr="00F11FDA" w:rsidTr="00107A26">
        <w:tc>
          <w:tcPr>
            <w:tcW w:w="8472" w:type="dxa"/>
            <w:shd w:val="pct10" w:color="auto" w:fill="FFFFFF"/>
            <w:vAlign w:val="center"/>
          </w:tcPr>
          <w:p w:rsidR="00851031" w:rsidRPr="00F11FDA" w:rsidRDefault="00851031" w:rsidP="00107A26">
            <w:pPr>
              <w:spacing w:before="120"/>
              <w:rPr>
                <w:szCs w:val="22"/>
              </w:rPr>
            </w:pPr>
            <w:r w:rsidRPr="00F11FDA">
              <w:rPr>
                <w:b/>
                <w:szCs w:val="22"/>
              </w:rPr>
              <w:t>3. Effectiveness and feasibility of the action</w:t>
            </w:r>
          </w:p>
        </w:tc>
        <w:tc>
          <w:tcPr>
            <w:tcW w:w="1275" w:type="dxa"/>
            <w:shd w:val="pct10" w:color="auto" w:fill="FFFFFF"/>
            <w:vAlign w:val="center"/>
          </w:tcPr>
          <w:p w:rsidR="00851031" w:rsidRPr="00F11FDA" w:rsidRDefault="00851031" w:rsidP="00107A26">
            <w:pPr>
              <w:spacing w:before="120"/>
              <w:jc w:val="center"/>
              <w:rPr>
                <w:b/>
                <w:szCs w:val="22"/>
              </w:rPr>
            </w:pPr>
            <w:r w:rsidRPr="00F11FDA">
              <w:rPr>
                <w:b/>
                <w:szCs w:val="22"/>
              </w:rPr>
              <w:t>20</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3.1 Are the activities proposed appropriate, practical, and consistent with the objectives and expected results?</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3.2 Is the action plan clear and feasible?</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3.3 Does the proposal contain objectively verifiable indicators for the outcome of the action? Is any evaluation planned?</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Pr>
          <w:p w:rsidR="00851031" w:rsidRPr="00F11FDA" w:rsidRDefault="00851031" w:rsidP="00107A26">
            <w:pPr>
              <w:spacing w:before="120"/>
              <w:rPr>
                <w:szCs w:val="22"/>
              </w:rPr>
            </w:pPr>
            <w:r w:rsidRPr="00F11FDA">
              <w:rPr>
                <w:szCs w:val="22"/>
              </w:rPr>
              <w:t xml:space="preserve">3.4 Is the co-applicant(s)'s and affiliated </w:t>
            </w:r>
            <w:proofErr w:type="gramStart"/>
            <w:r w:rsidRPr="00F11FDA">
              <w:rPr>
                <w:szCs w:val="22"/>
              </w:rPr>
              <w:t>entity(</w:t>
            </w:r>
            <w:proofErr w:type="spellStart"/>
            <w:proofErr w:type="gramEnd"/>
            <w:r w:rsidRPr="00F11FDA">
              <w:rPr>
                <w:szCs w:val="22"/>
              </w:rPr>
              <w:t>ies</w:t>
            </w:r>
            <w:proofErr w:type="spellEnd"/>
            <w:r w:rsidRPr="00F11FDA">
              <w:rPr>
                <w:szCs w:val="22"/>
              </w:rPr>
              <w:t>)'s level of involvement and participation in the action satisfactory?</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shd w:val="pct10" w:color="auto" w:fill="FFFFFF"/>
            <w:vAlign w:val="center"/>
          </w:tcPr>
          <w:p w:rsidR="00851031" w:rsidRPr="00F11FDA" w:rsidRDefault="00851031" w:rsidP="00107A26">
            <w:pPr>
              <w:spacing w:before="120"/>
              <w:rPr>
                <w:szCs w:val="22"/>
              </w:rPr>
            </w:pPr>
            <w:r w:rsidRPr="00F11FDA">
              <w:rPr>
                <w:szCs w:val="22"/>
              </w:rPr>
              <w:br w:type="page"/>
            </w:r>
            <w:r w:rsidRPr="00F11FDA">
              <w:rPr>
                <w:b/>
                <w:szCs w:val="22"/>
              </w:rPr>
              <w:t xml:space="preserve">4. Sustainability of the action </w:t>
            </w:r>
          </w:p>
        </w:tc>
        <w:tc>
          <w:tcPr>
            <w:tcW w:w="1275" w:type="dxa"/>
            <w:shd w:val="pct10" w:color="auto" w:fill="FFFFFF"/>
            <w:vAlign w:val="center"/>
          </w:tcPr>
          <w:p w:rsidR="00851031" w:rsidRPr="00F11FDA" w:rsidRDefault="00851031" w:rsidP="00107A26">
            <w:pPr>
              <w:spacing w:before="120"/>
              <w:jc w:val="center"/>
              <w:rPr>
                <w:b/>
                <w:szCs w:val="22"/>
              </w:rPr>
            </w:pPr>
            <w:r w:rsidRPr="00F11FDA">
              <w:rPr>
                <w:b/>
                <w:szCs w:val="22"/>
              </w:rPr>
              <w:t>15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4.1 Is the action likely to have a tangible impact on its target groups?</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4.2 Is the proposal likely to have multiplier effects? (Including scope for replication, extension and information sharing.)</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tcPr>
          <w:p w:rsidR="00851031" w:rsidRPr="00F11FDA" w:rsidRDefault="00851031" w:rsidP="00107A26">
            <w:pPr>
              <w:spacing w:before="120"/>
              <w:rPr>
                <w:szCs w:val="22"/>
              </w:rPr>
            </w:pPr>
            <w:r w:rsidRPr="00F11FDA">
              <w:rPr>
                <w:szCs w:val="22"/>
              </w:rPr>
              <w:t>4.3 Are the expected results of the proposed action sustainable</w:t>
            </w:r>
            <w:proofErr w:type="gramStart"/>
            <w:r w:rsidRPr="00F11FDA">
              <w:rPr>
                <w:szCs w:val="22"/>
              </w:rPr>
              <w:t>?:</w:t>
            </w:r>
            <w:proofErr w:type="gramEnd"/>
          </w:p>
          <w:p w:rsidR="00851031" w:rsidRPr="00F11FDA" w:rsidRDefault="00851031" w:rsidP="00107A26">
            <w:pPr>
              <w:spacing w:before="120"/>
              <w:ind w:left="510" w:hanging="170"/>
              <w:rPr>
                <w:szCs w:val="22"/>
              </w:rPr>
            </w:pPr>
            <w:r w:rsidRPr="00F11FDA">
              <w:rPr>
                <w:szCs w:val="22"/>
              </w:rPr>
              <w:t xml:space="preserve">- </w:t>
            </w:r>
            <w:proofErr w:type="gramStart"/>
            <w:r w:rsidRPr="00F11FDA">
              <w:rPr>
                <w:szCs w:val="22"/>
              </w:rPr>
              <w:t>financially</w:t>
            </w:r>
            <w:proofErr w:type="gramEnd"/>
            <w:r w:rsidRPr="00F11FDA">
              <w:rPr>
                <w:szCs w:val="22"/>
              </w:rPr>
              <w:t xml:space="preserve"> </w:t>
            </w:r>
            <w:r w:rsidRPr="00F11FDA">
              <w:rPr>
                <w:i/>
                <w:szCs w:val="22"/>
              </w:rPr>
              <w:t>(how will the activities be financed after the funding ends?)</w:t>
            </w:r>
          </w:p>
          <w:p w:rsidR="00851031" w:rsidRPr="00F11FDA" w:rsidRDefault="00851031" w:rsidP="00107A26">
            <w:pPr>
              <w:spacing w:before="120"/>
              <w:ind w:left="510" w:hanging="170"/>
              <w:rPr>
                <w:szCs w:val="22"/>
              </w:rPr>
            </w:pPr>
            <w:r w:rsidRPr="00F11FDA">
              <w:rPr>
                <w:szCs w:val="22"/>
              </w:rPr>
              <w:t xml:space="preserve">- </w:t>
            </w:r>
            <w:proofErr w:type="gramStart"/>
            <w:r w:rsidRPr="00F11FDA">
              <w:rPr>
                <w:szCs w:val="22"/>
              </w:rPr>
              <w:t>institutionally</w:t>
            </w:r>
            <w:proofErr w:type="gramEnd"/>
            <w:r w:rsidRPr="00F11FDA">
              <w:rPr>
                <w:szCs w:val="22"/>
              </w:rPr>
              <w:t xml:space="preserve"> </w:t>
            </w:r>
            <w:r w:rsidRPr="00F11FDA">
              <w:rPr>
                <w:i/>
                <w:szCs w:val="22"/>
              </w:rPr>
              <w:t>(will structures allowing the activities to continue be in place at the end of the action? Will there be local ‘ownership’ of the results of the action?)</w:t>
            </w:r>
          </w:p>
          <w:p w:rsidR="00851031" w:rsidRPr="00F11FDA" w:rsidRDefault="00851031" w:rsidP="00107A26">
            <w:pPr>
              <w:spacing w:before="120"/>
              <w:ind w:left="510" w:hanging="170"/>
              <w:rPr>
                <w:iCs/>
                <w:szCs w:val="22"/>
              </w:rPr>
            </w:pPr>
            <w:r w:rsidRPr="00F11FDA">
              <w:rPr>
                <w:szCs w:val="22"/>
              </w:rPr>
              <w:t xml:space="preserve">- </w:t>
            </w:r>
            <w:proofErr w:type="gramStart"/>
            <w:r w:rsidRPr="00F11FDA">
              <w:rPr>
                <w:szCs w:val="22"/>
              </w:rPr>
              <w:t>at</w:t>
            </w:r>
            <w:proofErr w:type="gramEnd"/>
            <w:r w:rsidRPr="00F11FDA">
              <w:rPr>
                <w:szCs w:val="22"/>
              </w:rPr>
              <w:t xml:space="preserve"> policy level (where applicable) </w:t>
            </w:r>
            <w:r w:rsidRPr="00F11FDA">
              <w:rPr>
                <w:i/>
                <w:szCs w:val="22"/>
              </w:rPr>
              <w:t xml:space="preserve">(what will be the structural impact of the action — e.g. will it lead to improved legislation, codes of conduct, methods, </w:t>
            </w:r>
            <w:proofErr w:type="spellStart"/>
            <w:r w:rsidRPr="00F11FDA">
              <w:rPr>
                <w:i/>
                <w:szCs w:val="22"/>
              </w:rPr>
              <w:t>etc</w:t>
            </w:r>
            <w:proofErr w:type="spellEnd"/>
            <w:r w:rsidRPr="00F11FDA">
              <w:rPr>
                <w:i/>
                <w:szCs w:val="22"/>
              </w:rPr>
              <w:t>?)</w:t>
            </w:r>
          </w:p>
          <w:p w:rsidR="00851031" w:rsidRPr="00F11FDA" w:rsidRDefault="00851031" w:rsidP="00107A26">
            <w:pPr>
              <w:spacing w:before="120"/>
              <w:ind w:left="510" w:hanging="170"/>
              <w:rPr>
                <w:szCs w:val="22"/>
              </w:rPr>
            </w:pPr>
            <w:r w:rsidRPr="00F11FDA">
              <w:rPr>
                <w:iCs/>
                <w:szCs w:val="22"/>
              </w:rPr>
              <w:t xml:space="preserve">- </w:t>
            </w:r>
            <w:proofErr w:type="gramStart"/>
            <w:r w:rsidRPr="00F11FDA">
              <w:rPr>
                <w:iCs/>
                <w:szCs w:val="22"/>
              </w:rPr>
              <w:t>environmentally</w:t>
            </w:r>
            <w:proofErr w:type="gramEnd"/>
            <w:r w:rsidRPr="00F11FDA">
              <w:rPr>
                <w:iCs/>
                <w:szCs w:val="22"/>
              </w:rPr>
              <w:t xml:space="preserve"> (if applicable) </w:t>
            </w:r>
            <w:r w:rsidRPr="00F11FDA">
              <w:rPr>
                <w:i/>
                <w:szCs w:val="22"/>
              </w:rPr>
              <w:t>(will the action have a negative/positive environmental impact?)</w:t>
            </w:r>
          </w:p>
        </w:tc>
        <w:tc>
          <w:tcPr>
            <w:tcW w:w="1275" w:type="dxa"/>
          </w:tcPr>
          <w:p w:rsidR="00851031" w:rsidRPr="00F11FDA" w:rsidRDefault="00851031" w:rsidP="00107A26">
            <w:pPr>
              <w:spacing w:before="120"/>
              <w:jc w:val="center"/>
              <w:rPr>
                <w:szCs w:val="22"/>
              </w:rPr>
            </w:pPr>
            <w:r w:rsidRPr="00F11FDA">
              <w:rPr>
                <w:szCs w:val="22"/>
              </w:rPr>
              <w:t>5</w:t>
            </w:r>
          </w:p>
        </w:tc>
      </w:tr>
      <w:tr w:rsidR="00851031" w:rsidRPr="00F11FDA" w:rsidTr="00107A26">
        <w:tc>
          <w:tcPr>
            <w:tcW w:w="8472" w:type="dxa"/>
            <w:shd w:val="pct10" w:color="auto" w:fill="FFFFFF"/>
            <w:vAlign w:val="center"/>
          </w:tcPr>
          <w:p w:rsidR="00851031" w:rsidRPr="00F11FDA" w:rsidRDefault="00851031" w:rsidP="00107A26">
            <w:pPr>
              <w:spacing w:before="120"/>
              <w:rPr>
                <w:szCs w:val="22"/>
              </w:rPr>
            </w:pPr>
            <w:r w:rsidRPr="00F11FDA">
              <w:rPr>
                <w:szCs w:val="22"/>
              </w:rPr>
              <w:br w:type="page"/>
            </w:r>
            <w:r w:rsidRPr="00F11FDA">
              <w:rPr>
                <w:b/>
                <w:szCs w:val="22"/>
              </w:rPr>
              <w:t>5. Budget and cost-effectiveness of the action</w:t>
            </w:r>
          </w:p>
        </w:tc>
        <w:tc>
          <w:tcPr>
            <w:tcW w:w="1275" w:type="dxa"/>
            <w:shd w:val="pct10" w:color="auto" w:fill="FFFFFF"/>
            <w:vAlign w:val="center"/>
          </w:tcPr>
          <w:p w:rsidR="00851031" w:rsidRPr="00F11FDA" w:rsidRDefault="00851031" w:rsidP="00107A26">
            <w:pPr>
              <w:spacing w:before="120"/>
              <w:jc w:val="center"/>
              <w:rPr>
                <w:b/>
                <w:szCs w:val="22"/>
              </w:rPr>
            </w:pPr>
            <w:r w:rsidRPr="00F11FDA">
              <w:rPr>
                <w:b/>
                <w:szCs w:val="22"/>
              </w:rPr>
              <w:t>15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5.1 Are the activities appropriately reflected in the budget?</w:t>
            </w:r>
          </w:p>
        </w:tc>
        <w:tc>
          <w:tcPr>
            <w:tcW w:w="1275" w:type="dxa"/>
          </w:tcPr>
          <w:p w:rsidR="00851031" w:rsidRPr="00F11FDA" w:rsidRDefault="00851031" w:rsidP="00107A26">
            <w:pPr>
              <w:spacing w:before="120"/>
              <w:jc w:val="center"/>
              <w:rPr>
                <w:szCs w:val="22"/>
              </w:rPr>
            </w:pPr>
            <w:r w:rsidRPr="00F11FDA">
              <w:rPr>
                <w:szCs w:val="22"/>
              </w:rPr>
              <w:t>/ 5</w:t>
            </w:r>
          </w:p>
        </w:tc>
      </w:tr>
      <w:tr w:rsidR="00851031" w:rsidRPr="00F11FDA" w:rsidTr="00107A26">
        <w:tc>
          <w:tcPr>
            <w:tcW w:w="8472" w:type="dxa"/>
          </w:tcPr>
          <w:p w:rsidR="00851031" w:rsidRPr="00F11FDA" w:rsidRDefault="00851031" w:rsidP="00107A26">
            <w:pPr>
              <w:spacing w:before="120"/>
              <w:ind w:left="340" w:hanging="340"/>
              <w:rPr>
                <w:szCs w:val="22"/>
              </w:rPr>
            </w:pPr>
            <w:r w:rsidRPr="00F11FDA">
              <w:rPr>
                <w:szCs w:val="22"/>
              </w:rPr>
              <w:t>5.2 Is the ratio between the estimated costs and the expected results satisfactory?</w:t>
            </w:r>
          </w:p>
        </w:tc>
        <w:tc>
          <w:tcPr>
            <w:tcW w:w="1275" w:type="dxa"/>
          </w:tcPr>
          <w:p w:rsidR="00851031" w:rsidRPr="00F11FDA" w:rsidRDefault="00851031" w:rsidP="00107A26">
            <w:pPr>
              <w:spacing w:before="120"/>
              <w:jc w:val="center"/>
              <w:rPr>
                <w:szCs w:val="22"/>
              </w:rPr>
            </w:pPr>
            <w:r w:rsidRPr="00F11FDA">
              <w:rPr>
                <w:szCs w:val="22"/>
              </w:rPr>
              <w:t>/ 10</w:t>
            </w:r>
          </w:p>
        </w:tc>
      </w:tr>
      <w:tr w:rsidR="00851031" w:rsidRPr="00F11FDA" w:rsidTr="00107A26">
        <w:tc>
          <w:tcPr>
            <w:tcW w:w="8472" w:type="dxa"/>
            <w:shd w:val="pct10" w:color="auto" w:fill="FFFFFF"/>
            <w:vAlign w:val="center"/>
          </w:tcPr>
          <w:p w:rsidR="00851031" w:rsidRPr="00F11FDA" w:rsidRDefault="00851031" w:rsidP="00107A26">
            <w:pPr>
              <w:spacing w:before="120"/>
              <w:rPr>
                <w:b/>
                <w:szCs w:val="22"/>
              </w:rPr>
            </w:pPr>
            <w:r w:rsidRPr="00F11FDA">
              <w:rPr>
                <w:b/>
                <w:szCs w:val="22"/>
              </w:rPr>
              <w:t>Maximum total score</w:t>
            </w:r>
          </w:p>
        </w:tc>
        <w:tc>
          <w:tcPr>
            <w:tcW w:w="1275" w:type="dxa"/>
            <w:shd w:val="pct10" w:color="auto" w:fill="FFFFFF"/>
            <w:vAlign w:val="center"/>
          </w:tcPr>
          <w:p w:rsidR="00851031" w:rsidRPr="00F11FDA" w:rsidRDefault="00851031" w:rsidP="00107A26">
            <w:pPr>
              <w:spacing w:before="120"/>
              <w:jc w:val="center"/>
              <w:rPr>
                <w:b/>
                <w:szCs w:val="22"/>
              </w:rPr>
            </w:pPr>
            <w:r w:rsidRPr="00F11FDA">
              <w:rPr>
                <w:b/>
                <w:szCs w:val="22"/>
              </w:rPr>
              <w:t>100</w:t>
            </w:r>
          </w:p>
        </w:tc>
      </w:tr>
    </w:tbl>
    <w:p w:rsidR="00851031" w:rsidRDefault="00851031" w:rsidP="00851031"/>
    <w:p w:rsidR="00851031" w:rsidRPr="00F11FDA" w:rsidRDefault="00851031" w:rsidP="00851031">
      <w:r w:rsidRPr="00F11FDA">
        <w:t xml:space="preserve">If the total score for section 1 (financial and operational capacity) is less than 12 points, the application will be rejected. If the score for at least one of the subsections under section 1 is 1, the application will also be rejected. </w:t>
      </w:r>
    </w:p>
    <w:p w:rsidR="00851031" w:rsidRPr="00F11FDA" w:rsidRDefault="00851031" w:rsidP="00851031">
      <w:pPr>
        <w:rPr>
          <w:i/>
        </w:rPr>
      </w:pPr>
      <w:r w:rsidRPr="00F11FDA">
        <w:rPr>
          <w:i/>
        </w:rPr>
        <w:t>Provisional selection</w:t>
      </w:r>
    </w:p>
    <w:p w:rsidR="00851031" w:rsidRDefault="00851031" w:rsidP="00851031">
      <w:pPr>
        <w:numPr>
          <w:ilvl w:val="0"/>
          <w:numId w:val="24"/>
        </w:numPr>
      </w:pPr>
      <w:r w:rsidRPr="00F11FDA">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rsidR="00851031" w:rsidRDefault="00851031" w:rsidP="00851031"/>
    <w:p w:rsidR="00851031" w:rsidRDefault="00851031" w:rsidP="00851031"/>
    <w:p w:rsidR="00851031" w:rsidRDefault="00851031" w:rsidP="00851031"/>
    <w:p w:rsidR="00851031" w:rsidRDefault="00851031" w:rsidP="00851031"/>
    <w:p w:rsidR="00851031" w:rsidRDefault="00851031" w:rsidP="00851031"/>
    <w:p w:rsidR="00851031" w:rsidRDefault="00851031" w:rsidP="00851031"/>
    <w:p w:rsidR="00851031" w:rsidRDefault="00851031" w:rsidP="00851031"/>
    <w:p w:rsidR="00851031" w:rsidRDefault="00851031" w:rsidP="00851031"/>
    <w:p w:rsidR="00851031" w:rsidRDefault="00851031" w:rsidP="00851031"/>
    <w:p w:rsidR="00851031" w:rsidRDefault="00851031" w:rsidP="00851031"/>
    <w:p w:rsidR="00851031" w:rsidRPr="00F11FDA" w:rsidRDefault="00851031" w:rsidP="00851031">
      <w:pPr>
        <w:numPr>
          <w:ilvl w:val="0"/>
          <w:numId w:val="21"/>
        </w:numPr>
        <w:tabs>
          <w:tab w:val="left" w:pos="426"/>
        </w:tabs>
        <w:spacing w:before="240"/>
        <w:ind w:left="1418" w:hanging="1418"/>
        <w:jc w:val="left"/>
        <w:rPr>
          <w:b/>
          <w:sz w:val="24"/>
          <w:szCs w:val="24"/>
        </w:rPr>
      </w:pPr>
      <w:r w:rsidRPr="00F11FDA">
        <w:rPr>
          <w:b/>
          <w:sz w:val="24"/>
          <w:szCs w:val="24"/>
        </w:rPr>
        <w:t>STEP 3:</w:t>
      </w:r>
      <w:r w:rsidRPr="00F11FDA">
        <w:rPr>
          <w:b/>
          <w:sz w:val="24"/>
          <w:szCs w:val="24"/>
        </w:rPr>
        <w:tab/>
        <w:t>VERIFICATION OF ELIGIBILITY OF THE APPLICANTS AND AFFILIATED ENTITY(IES)</w:t>
      </w:r>
    </w:p>
    <w:p w:rsidR="00851031" w:rsidRPr="00F11FDA" w:rsidRDefault="00851031" w:rsidP="00851031">
      <w:r w:rsidRPr="00F11FDA">
        <w:t xml:space="preserve">The eligibility verification will be performed on the basis of the supporting documents requested by the Contracting Authority (see section 2.4). It will </w:t>
      </w:r>
      <w:r w:rsidRPr="00F11FDA">
        <w:rPr>
          <w:u w:val="single"/>
        </w:rPr>
        <w:t>only</w:t>
      </w:r>
      <w:r w:rsidRPr="00F11FDA">
        <w:t xml:space="preserve"> be performed for the applications that have been provisionally selected according to their score and within the available budget for this call for proposals. </w:t>
      </w:r>
    </w:p>
    <w:p w:rsidR="00851031" w:rsidRPr="00F11FDA" w:rsidRDefault="00851031" w:rsidP="00851031">
      <w:pPr>
        <w:numPr>
          <w:ilvl w:val="0"/>
          <w:numId w:val="25"/>
        </w:numPr>
      </w:pPr>
      <w:r w:rsidRPr="00F11FDA">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rsidR="00851031" w:rsidRPr="00F11FDA" w:rsidRDefault="00851031" w:rsidP="00851031">
      <w:pPr>
        <w:numPr>
          <w:ilvl w:val="0"/>
          <w:numId w:val="25"/>
        </w:numPr>
      </w:pPr>
      <w:r w:rsidRPr="00F11FDA">
        <w:t xml:space="preserve">The eligibility of applicants and the affiliated </w:t>
      </w:r>
      <w:proofErr w:type="gramStart"/>
      <w:r w:rsidRPr="00F11FDA">
        <w:t>entity(</w:t>
      </w:r>
      <w:proofErr w:type="spellStart"/>
      <w:proofErr w:type="gramEnd"/>
      <w:r w:rsidRPr="00F11FDA">
        <w:t>ies</w:t>
      </w:r>
      <w:proofErr w:type="spellEnd"/>
      <w:r w:rsidRPr="00F11FDA">
        <w:t>) will be verified according to the criteria set out in sections 2.1.1, 2.1.2 and 2.1.3.</w:t>
      </w:r>
    </w:p>
    <w:p w:rsidR="00851031" w:rsidRPr="00F11FDA" w:rsidRDefault="00851031" w:rsidP="00851031">
      <w:r w:rsidRPr="00F11FDA">
        <w:t>Any rejected application will be replaced by the next best placed application on the reserve list that falls within the available budget for this call for proposals.</w:t>
      </w:r>
      <w:bookmarkStart w:id="27" w:name="_Toc40507654"/>
    </w:p>
    <w:p w:rsidR="00851031" w:rsidRPr="00F11FDA" w:rsidRDefault="00851031" w:rsidP="00851031">
      <w:pPr>
        <w:pStyle w:val="Guidelines2"/>
      </w:pPr>
      <w:r w:rsidRPr="00F11FDA">
        <w:br w:type="page"/>
      </w:r>
      <w:bookmarkStart w:id="28" w:name="_Toc437893860"/>
      <w:r w:rsidRPr="00F11FDA">
        <w:t>Submission of supporting documents for provisionally selected applications</w:t>
      </w:r>
      <w:bookmarkEnd w:id="27"/>
      <w:bookmarkEnd w:id="28"/>
      <w:r w:rsidRPr="00F11FDA">
        <w:t xml:space="preserve"> </w:t>
      </w:r>
    </w:p>
    <w:p w:rsidR="00851031" w:rsidRPr="00F11FDA" w:rsidRDefault="00851031" w:rsidP="00851031">
      <w:r w:rsidRPr="00F11FDA">
        <w:t xml:space="preserve">A lead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lead applicant, (if any) of the co-applicant(s) and (if any) of their affiliated </w:t>
      </w:r>
      <w:proofErr w:type="gramStart"/>
      <w:r w:rsidRPr="00F11FDA">
        <w:t>entity(</w:t>
      </w:r>
      <w:proofErr w:type="spellStart"/>
      <w:proofErr w:type="gramEnd"/>
      <w:r w:rsidRPr="00F11FDA">
        <w:t>ies</w:t>
      </w:r>
      <w:proofErr w:type="spellEnd"/>
      <w:r w:rsidRPr="00F11FDA">
        <w:t>)</w:t>
      </w:r>
      <w:r w:rsidRPr="00F11FDA">
        <w:rPr>
          <w:rStyle w:val="FootnoteReference"/>
        </w:rPr>
        <w:footnoteReference w:id="4"/>
      </w:r>
      <w:r w:rsidRPr="00F11FDA">
        <w:t>:</w:t>
      </w:r>
    </w:p>
    <w:p w:rsidR="00851031" w:rsidRPr="00F11FDA" w:rsidRDefault="00851031" w:rsidP="00851031">
      <w:pPr>
        <w:numPr>
          <w:ilvl w:val="6"/>
          <w:numId w:val="26"/>
        </w:numPr>
        <w:tabs>
          <w:tab w:val="left" w:pos="567"/>
          <w:tab w:val="left" w:pos="2126"/>
          <w:tab w:val="left" w:pos="2835"/>
        </w:tabs>
        <w:spacing w:before="120"/>
        <w:ind w:left="567"/>
      </w:pPr>
      <w:r w:rsidRPr="00F11FDA">
        <w:t>The statutes or articles of association of the lead applicant, (if any) of each co-applicant and (if any) of each affiliated entity</w:t>
      </w:r>
      <w:r w:rsidRPr="00F11FDA">
        <w:rPr>
          <w:rStyle w:val="FootnoteReference"/>
        </w:rPr>
        <w:footnoteReference w:id="5"/>
      </w:r>
      <w:r w:rsidRPr="00F11FDA">
        <w:t>. Where the Contracting Authority has recognised the lead applicant’s, or the co-applicant(s)’s, or their affiliated entity(</w:t>
      </w:r>
      <w:proofErr w:type="spellStart"/>
      <w:r w:rsidRPr="00F11FDA">
        <w:t>ies</w:t>
      </w:r>
      <w:proofErr w:type="spellEnd"/>
      <w:r w:rsidRPr="00F11FDA">
        <w:t>)’s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sidRPr="00F11FDA">
        <w:rPr>
          <w:rStyle w:val="FootnoteReference"/>
        </w:rPr>
        <w:footnoteReference w:id="6"/>
      </w:r>
      <w:r w:rsidRPr="00F11FDA">
        <w:t xml:space="preserve">.  This obligation does not apply to Member States which have signed a framework agreement with the SADC Secretariat. </w:t>
      </w:r>
      <w:r w:rsidRPr="00F11FDA" w:rsidDel="007C2E1E">
        <w:t xml:space="preserve"> </w:t>
      </w:r>
    </w:p>
    <w:p w:rsidR="00851031" w:rsidRPr="00851031" w:rsidRDefault="00851031" w:rsidP="00851031">
      <w:pPr>
        <w:numPr>
          <w:ilvl w:val="6"/>
          <w:numId w:val="26"/>
        </w:numPr>
        <w:tabs>
          <w:tab w:val="left" w:pos="567"/>
          <w:tab w:val="left" w:pos="2126"/>
          <w:tab w:val="left" w:pos="2835"/>
        </w:tabs>
        <w:spacing w:before="120"/>
        <w:ind w:left="567"/>
      </w:pPr>
      <w:r w:rsidRPr="0064166C">
        <w:t xml:space="preserve">For </w:t>
      </w:r>
      <w:r w:rsidRPr="00851031">
        <w:t>action grants exceeding USD 300 000 and for operating grants above USD 200 000, the lead applicant must provide an audit report produced by an approved external auditor where it is available, and always in cases where a statutory audit is required by SADC or National Law. That report shall certify the accounts for up to the last 3 financial years available. In all other cases, the applicant shall provide a self-declaration signed by its authorised representative certifying the validity of its accounts for up to the last 3 financial years available.</w:t>
      </w:r>
    </w:p>
    <w:p w:rsidR="00851031" w:rsidRPr="00851031" w:rsidRDefault="00851031" w:rsidP="00851031">
      <w:pPr>
        <w:tabs>
          <w:tab w:val="left" w:pos="567"/>
          <w:tab w:val="left" w:pos="2126"/>
          <w:tab w:val="left" w:pos="2835"/>
        </w:tabs>
        <w:spacing w:before="120"/>
        <w:ind w:left="567"/>
      </w:pPr>
      <w:r w:rsidRPr="00851031">
        <w:t>This requirement shall apply only to the first application made by a beneficiary to an authorising officer responsible in any one financial year.</w:t>
      </w:r>
    </w:p>
    <w:p w:rsidR="00851031" w:rsidRPr="00851031" w:rsidRDefault="00851031" w:rsidP="00851031">
      <w:pPr>
        <w:numPr>
          <w:ilvl w:val="6"/>
          <w:numId w:val="26"/>
        </w:numPr>
        <w:tabs>
          <w:tab w:val="left" w:pos="567"/>
          <w:tab w:val="left" w:pos="2126"/>
          <w:tab w:val="left" w:pos="2835"/>
        </w:tabs>
        <w:spacing w:before="120"/>
        <w:ind w:left="567"/>
        <w:rPr>
          <w:sz w:val="24"/>
          <w:szCs w:val="24"/>
        </w:rPr>
      </w:pPr>
      <w:r w:rsidRPr="00851031">
        <w:rPr>
          <w:sz w:val="24"/>
          <w:szCs w:val="24"/>
        </w:rPr>
        <w:t xml:space="preserve"> The external audit report is not required from (if any) the co-applicant(s)) or affiliated entities.</w:t>
      </w:r>
    </w:p>
    <w:p w:rsidR="00851031" w:rsidRPr="00851031" w:rsidRDefault="00851031" w:rsidP="00851031">
      <w:pPr>
        <w:tabs>
          <w:tab w:val="left" w:pos="567"/>
          <w:tab w:val="left" w:pos="2126"/>
          <w:tab w:val="left" w:pos="2835"/>
        </w:tabs>
        <w:spacing w:before="120"/>
        <w:ind w:left="207"/>
      </w:pPr>
    </w:p>
    <w:p w:rsidR="00851031" w:rsidRPr="00851031" w:rsidRDefault="00851031" w:rsidP="00851031">
      <w:pPr>
        <w:numPr>
          <w:ilvl w:val="6"/>
          <w:numId w:val="26"/>
        </w:numPr>
        <w:tabs>
          <w:tab w:val="left" w:pos="567"/>
          <w:tab w:val="left" w:pos="2126"/>
          <w:tab w:val="left" w:pos="2835"/>
        </w:tabs>
        <w:spacing w:before="120"/>
        <w:ind w:left="567"/>
      </w:pPr>
      <w:r w:rsidRPr="00851031">
        <w:t>A copy of the lead applicant’s latest accounts (the profit and loss account and the balance sheet for the last financial year for which the accounts have been closed)</w:t>
      </w:r>
      <w:r w:rsidRPr="00851031">
        <w:rPr>
          <w:rStyle w:val="FootnoteReference"/>
        </w:rPr>
        <w:footnoteReference w:id="7"/>
      </w:r>
      <w:r w:rsidRPr="00851031">
        <w:t xml:space="preserve">. A copy of the latest account is neither required from (if any) the co-applicant(s) nor from (if any) affiliated </w:t>
      </w:r>
      <w:proofErr w:type="gramStart"/>
      <w:r w:rsidRPr="00851031">
        <w:t>entity(</w:t>
      </w:r>
      <w:proofErr w:type="spellStart"/>
      <w:proofErr w:type="gramEnd"/>
      <w:r w:rsidRPr="00851031">
        <w:t>ies</w:t>
      </w:r>
      <w:proofErr w:type="spellEnd"/>
      <w:r w:rsidRPr="00851031">
        <w:t>)).</w:t>
      </w:r>
    </w:p>
    <w:p w:rsidR="00851031" w:rsidRPr="009741B4" w:rsidRDefault="00851031" w:rsidP="00851031">
      <w:pPr>
        <w:numPr>
          <w:ilvl w:val="6"/>
          <w:numId w:val="26"/>
        </w:numPr>
        <w:tabs>
          <w:tab w:val="left" w:pos="567"/>
          <w:tab w:val="left" w:pos="2126"/>
          <w:tab w:val="left" w:pos="2835"/>
        </w:tabs>
        <w:spacing w:before="120"/>
        <w:ind w:left="567"/>
        <w:rPr>
          <w:szCs w:val="22"/>
        </w:rPr>
      </w:pPr>
      <w:r w:rsidRPr="00851031">
        <w:rPr>
          <w:szCs w:val="22"/>
        </w:rPr>
        <w:t>Legal entity sheet (see Annex G of these guidelines) duly completed and signed by each of the applicants (i.e. by the lead applicant and (if any) by each co-applicant), accompanied by the justifying documents requested there. If the applicants have already</w:t>
      </w:r>
      <w:r w:rsidRPr="009741B4">
        <w:rPr>
          <w:szCs w:val="22"/>
        </w:rPr>
        <w:t xml:space="preserve"> signed a contract with the contracting authority, instead of the legal entity sheet and supporting documents, the legal entity number may be provided, unless a change in legal status occurred in the meantime.</w:t>
      </w:r>
    </w:p>
    <w:p w:rsidR="00851031" w:rsidRPr="00D4648F" w:rsidRDefault="00851031" w:rsidP="00851031">
      <w:pPr>
        <w:numPr>
          <w:ilvl w:val="6"/>
          <w:numId w:val="26"/>
        </w:numPr>
        <w:tabs>
          <w:tab w:val="left" w:pos="567"/>
          <w:tab w:val="left" w:pos="2126"/>
          <w:tab w:val="left" w:pos="2835"/>
        </w:tabs>
        <w:spacing w:before="120"/>
        <w:ind w:left="567"/>
        <w:rPr>
          <w:szCs w:val="22"/>
        </w:rPr>
      </w:pPr>
      <w:r w:rsidRPr="009741B4">
        <w:rPr>
          <w:szCs w:val="22"/>
        </w:rPr>
        <w:t>A financial identification form of the lead applicant (not from co-applicant(s)) conforming to the model attached as Annex</w:t>
      </w:r>
      <w:r>
        <w:rPr>
          <w:szCs w:val="22"/>
        </w:rPr>
        <w:t xml:space="preserve"> H</w:t>
      </w:r>
      <w:r w:rsidRPr="009741B4">
        <w:rPr>
          <w:szCs w:val="22"/>
        </w:rPr>
        <w:t xml:space="preserve"> of these guidelines, certified by the bank to which the payments will be made. This bank should be located in the country where the lead applicant is established. </w:t>
      </w:r>
    </w:p>
    <w:p w:rsidR="00851031" w:rsidRPr="00C71B3B" w:rsidRDefault="00851031" w:rsidP="00851031">
      <w:pPr>
        <w:numPr>
          <w:ilvl w:val="6"/>
          <w:numId w:val="26"/>
        </w:numPr>
        <w:ind w:left="567"/>
        <w:rPr>
          <w:highlight w:val="yellow"/>
        </w:rPr>
      </w:pPr>
      <w:r w:rsidRPr="003660DB">
        <w:t xml:space="preserve">The lead applicant as well as all co-applicants and affiliated entities shall fill </w:t>
      </w:r>
      <w:r>
        <w:t xml:space="preserve">in </w:t>
      </w:r>
      <w:r w:rsidRPr="003660DB">
        <w:t xml:space="preserve">and sign the declaration on honour certifying that they are not in one of the exclusion situations </w:t>
      </w:r>
      <w:r>
        <w:t xml:space="preserve">(see Section  2.5.2 of SADC Procurement and Grants Guidelines November 2020) </w:t>
      </w:r>
    </w:p>
    <w:p w:rsidR="00851031" w:rsidRPr="00F11FDA" w:rsidRDefault="00851031" w:rsidP="00851031">
      <w:r>
        <w:t>The requested supporting d</w:t>
      </w:r>
      <w:r w:rsidRPr="00F11FDA">
        <w:t xml:space="preserve">ocuments must be supplied in the form of originals, photocopies or scanned versions (i.e. showing legible stamps, signatures and dates) of the said originals. </w:t>
      </w:r>
    </w:p>
    <w:p w:rsidR="00851031" w:rsidRPr="00F11FDA" w:rsidRDefault="00851031" w:rsidP="00851031">
      <w:r w:rsidRPr="00F11FDA">
        <w:t xml:space="preserve">Where such documents are not in one of the official languages of the SADC Secretariat, a translation into </w:t>
      </w:r>
      <w:r>
        <w:t xml:space="preserve">English of the relevant part </w:t>
      </w:r>
      <w:r w:rsidRPr="00F11FDA">
        <w:t>of these documents proving the lead applicant's and, where applicable, co-applicants' and affiliated entity(</w:t>
      </w:r>
      <w:proofErr w:type="spellStart"/>
      <w:r w:rsidRPr="00F11FDA">
        <w:t>ies</w:t>
      </w:r>
      <w:proofErr w:type="spellEnd"/>
      <w:r w:rsidRPr="00F11FDA">
        <w:t>)' eligibility, must be attached for the purpose of analysing the application.</w:t>
      </w:r>
    </w:p>
    <w:p w:rsidR="00851031" w:rsidRPr="00A500EE" w:rsidRDefault="00851031" w:rsidP="00851031">
      <w:pPr>
        <w:rPr>
          <w:szCs w:val="22"/>
        </w:rPr>
      </w:pPr>
      <w:r w:rsidRPr="00A500EE">
        <w:rPr>
          <w:szCs w:val="22"/>
        </w:rPr>
        <w:t xml:space="preserve">Where these documents are in an official language of </w:t>
      </w:r>
      <w:r>
        <w:rPr>
          <w:szCs w:val="22"/>
        </w:rPr>
        <w:t xml:space="preserve">SADC Secretariat </w:t>
      </w:r>
      <w:r w:rsidRPr="00A500EE">
        <w:rPr>
          <w:szCs w:val="22"/>
        </w:rPr>
        <w:t xml:space="preserve">other than English, it is </w:t>
      </w:r>
      <w:r w:rsidRPr="00A500EE">
        <w:rPr>
          <w:b/>
          <w:szCs w:val="22"/>
        </w:rPr>
        <w:t xml:space="preserve">strongly </w:t>
      </w:r>
      <w:r w:rsidRPr="00A500EE">
        <w:rPr>
          <w:szCs w:val="22"/>
        </w:rPr>
        <w:t>recommended, in order to facilitate the evaluation, to provide a translation of the relevant parts of the documents, proving the lead applicant's and, where applicable, co-applicants' and affiliated entity(</w:t>
      </w:r>
      <w:proofErr w:type="spellStart"/>
      <w:r w:rsidRPr="00A500EE">
        <w:rPr>
          <w:szCs w:val="22"/>
        </w:rPr>
        <w:t>ies</w:t>
      </w:r>
      <w:proofErr w:type="spellEnd"/>
      <w:r w:rsidRPr="00A500EE">
        <w:rPr>
          <w:szCs w:val="22"/>
        </w:rPr>
        <w:t>)' eligibility, into English.</w:t>
      </w:r>
    </w:p>
    <w:p w:rsidR="00851031" w:rsidRPr="00F11FDA" w:rsidRDefault="00851031" w:rsidP="00851031">
      <w:pPr>
        <w:rPr>
          <w:szCs w:val="22"/>
        </w:rPr>
      </w:pPr>
      <w:r w:rsidRPr="00F11FDA">
        <w:rPr>
          <w:szCs w:val="22"/>
        </w:rPr>
        <w:t>If the abovementioned supporting documents are not provided before the deadline indicated in the request for supporting documents sent to the lead applicant by the Contracting Authority, the application may be rejected.</w:t>
      </w:r>
    </w:p>
    <w:p w:rsidR="00851031" w:rsidRPr="00F11FDA" w:rsidRDefault="00851031" w:rsidP="00851031">
      <w:pPr>
        <w:rPr>
          <w:szCs w:val="22"/>
        </w:rPr>
      </w:pPr>
      <w:r w:rsidRPr="00F11FDA">
        <w:rPr>
          <w:szCs w:val="22"/>
        </w:rPr>
        <w:t>After verifying the supporting documents, the evaluation committee will make a final recommendation to the Contracting Authority, which will decide on the award of grants.</w:t>
      </w:r>
    </w:p>
    <w:p w:rsidR="00851031" w:rsidRPr="00F11FDA" w:rsidRDefault="00851031" w:rsidP="00851031">
      <w:pPr>
        <w:ind w:left="567" w:hanging="567"/>
        <w:rPr>
          <w:szCs w:val="22"/>
        </w:rPr>
      </w:pPr>
      <w:proofErr w:type="gramStart"/>
      <w:r w:rsidRPr="00F11FDA">
        <w:t>NB :</w:t>
      </w:r>
      <w:proofErr w:type="gramEnd"/>
      <w:r w:rsidRPr="00F11FDA">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rsidR="00851031" w:rsidRPr="00F11FDA" w:rsidRDefault="00851031" w:rsidP="00851031">
      <w:pPr>
        <w:pStyle w:val="Guidelines2"/>
      </w:pPr>
      <w:bookmarkStart w:id="29" w:name="_Toc437893861"/>
      <w:r w:rsidRPr="00F11FDA">
        <w:t>Notification of the Contracting Authority’s decision</w:t>
      </w:r>
      <w:bookmarkEnd w:id="29"/>
    </w:p>
    <w:p w:rsidR="00851031" w:rsidRPr="00F11FDA" w:rsidRDefault="00851031" w:rsidP="00851031">
      <w:pPr>
        <w:pStyle w:val="Guidelines3"/>
      </w:pPr>
      <w:bookmarkStart w:id="30" w:name="_Toc437893862"/>
      <w:r w:rsidRPr="00F11FDA">
        <w:t>Content of the decision</w:t>
      </w:r>
      <w:bookmarkEnd w:id="30"/>
    </w:p>
    <w:p w:rsidR="00851031" w:rsidRPr="00F11FDA" w:rsidRDefault="00851031" w:rsidP="00851031">
      <w:pPr>
        <w:spacing w:before="240"/>
      </w:pPr>
      <w:r w:rsidRPr="00F11FDA">
        <w:t xml:space="preserve">The lead applicants will be informed in writing of the Contracting Authority’s decision concerning their application and, if rejected, the reasons for the negative decision. </w:t>
      </w:r>
    </w:p>
    <w:p w:rsidR="00851031" w:rsidRDefault="00851031" w:rsidP="00851031">
      <w:r w:rsidRPr="00F11FDA">
        <w:t>An applicant believing that it has been harmed by an error or irregularity during the award process may lodge a complaint.</w:t>
      </w:r>
    </w:p>
    <w:p w:rsidR="00851031" w:rsidRDefault="00851031" w:rsidP="00851031"/>
    <w:p w:rsidR="00851031" w:rsidRDefault="00851031" w:rsidP="00851031"/>
    <w:p w:rsidR="00851031" w:rsidRDefault="00851031" w:rsidP="00851031"/>
    <w:p w:rsidR="00851031" w:rsidRDefault="00851031" w:rsidP="00851031"/>
    <w:p w:rsidR="00851031" w:rsidRPr="00F11FDA" w:rsidRDefault="00851031" w:rsidP="00851031"/>
    <w:p w:rsidR="00851031" w:rsidRPr="00F11FDA" w:rsidRDefault="00851031" w:rsidP="00851031">
      <w:pPr>
        <w:pStyle w:val="Guidelines3"/>
      </w:pPr>
      <w:bookmarkStart w:id="31" w:name="_Toc437893863"/>
      <w:r w:rsidRPr="00F11FDA">
        <w:t>Indicative timetable</w:t>
      </w:r>
      <w:bookmarkEnd w:id="31"/>
      <w:r w:rsidRPr="00F11FDA">
        <w:t xml:space="preserve"> </w:t>
      </w:r>
    </w:p>
    <w:p w:rsidR="00851031" w:rsidRPr="00F11FDA" w:rsidRDefault="00851031" w:rsidP="0085103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851031" w:rsidRPr="00F11FDA" w:rsidTr="00107A26">
        <w:tc>
          <w:tcPr>
            <w:tcW w:w="4678" w:type="dxa"/>
            <w:tcBorders>
              <w:top w:val="single" w:sz="4" w:space="0" w:color="auto"/>
              <w:left w:val="single" w:sz="4" w:space="0" w:color="auto"/>
              <w:bottom w:val="single" w:sz="4" w:space="0" w:color="auto"/>
              <w:right w:val="single" w:sz="4" w:space="0" w:color="auto"/>
            </w:tcBorders>
          </w:tcPr>
          <w:p w:rsidR="00851031" w:rsidRPr="00F11FDA" w:rsidRDefault="00851031" w:rsidP="00107A26">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rsidR="00851031" w:rsidRPr="00F11FDA" w:rsidRDefault="00851031" w:rsidP="00107A26">
            <w:pPr>
              <w:spacing w:before="120"/>
              <w:jc w:val="center"/>
              <w:rPr>
                <w:b/>
                <w:szCs w:val="22"/>
              </w:rPr>
            </w:pPr>
            <w:r w:rsidRPr="00F11FDA">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851031" w:rsidRPr="00F11FDA" w:rsidRDefault="00851031" w:rsidP="00107A26">
            <w:pPr>
              <w:spacing w:before="120"/>
              <w:jc w:val="center"/>
              <w:rPr>
                <w:b/>
                <w:szCs w:val="22"/>
              </w:rPr>
            </w:pPr>
            <w:r w:rsidRPr="00F11FDA">
              <w:rPr>
                <w:b/>
                <w:szCs w:val="22"/>
              </w:rPr>
              <w:t>TIME</w:t>
            </w:r>
          </w:p>
        </w:tc>
      </w:tr>
      <w:tr w:rsidR="00851031" w:rsidRPr="00F11FDA" w:rsidTr="00107A26">
        <w:tc>
          <w:tcPr>
            <w:tcW w:w="4678" w:type="dxa"/>
            <w:tcBorders>
              <w:top w:val="single" w:sz="4" w:space="0" w:color="auto"/>
            </w:tcBorders>
            <w:shd w:val="pct10" w:color="auto" w:fill="FFFFFF"/>
          </w:tcPr>
          <w:p w:rsidR="00851031" w:rsidRPr="00F11FDA" w:rsidRDefault="00851031" w:rsidP="00107A26">
            <w:pPr>
              <w:spacing w:before="120"/>
              <w:ind w:left="318" w:hanging="318"/>
              <w:jc w:val="left"/>
              <w:rPr>
                <w:b/>
                <w:szCs w:val="22"/>
              </w:rPr>
            </w:pPr>
            <w:r w:rsidRPr="00F11FDA">
              <w:rPr>
                <w:b/>
                <w:szCs w:val="22"/>
              </w:rPr>
              <w:t>1.</w:t>
            </w:r>
            <w:r w:rsidRPr="00F11FDA">
              <w:rPr>
                <w:b/>
                <w:szCs w:val="22"/>
              </w:rPr>
              <w:tab/>
              <w:t>Information meeting (if any)</w:t>
            </w:r>
          </w:p>
        </w:tc>
        <w:tc>
          <w:tcPr>
            <w:tcW w:w="2552" w:type="dxa"/>
            <w:tcBorders>
              <w:top w:val="single" w:sz="4" w:space="0" w:color="auto"/>
            </w:tcBorders>
          </w:tcPr>
          <w:p w:rsidR="00851031" w:rsidRPr="00E0192A" w:rsidRDefault="00851031" w:rsidP="00851031">
            <w:pPr>
              <w:spacing w:before="120"/>
              <w:jc w:val="center"/>
              <w:rPr>
                <w:szCs w:val="22"/>
              </w:rPr>
            </w:pPr>
            <w:r>
              <w:rPr>
                <w:szCs w:val="22"/>
              </w:rPr>
              <w:t>16</w:t>
            </w:r>
            <w:r w:rsidRPr="00E0192A">
              <w:rPr>
                <w:szCs w:val="22"/>
                <w:vertAlign w:val="superscript"/>
              </w:rPr>
              <w:t>th</w:t>
            </w:r>
            <w:r w:rsidRPr="00E0192A">
              <w:rPr>
                <w:szCs w:val="22"/>
              </w:rPr>
              <w:t xml:space="preserve"> December 2020</w:t>
            </w:r>
          </w:p>
        </w:tc>
        <w:tc>
          <w:tcPr>
            <w:tcW w:w="2551" w:type="dxa"/>
            <w:tcBorders>
              <w:top w:val="single" w:sz="4" w:space="0" w:color="auto"/>
            </w:tcBorders>
          </w:tcPr>
          <w:p w:rsidR="00851031" w:rsidRPr="00E0192A" w:rsidRDefault="00851031" w:rsidP="00A31E39">
            <w:pPr>
              <w:spacing w:before="120"/>
              <w:jc w:val="center"/>
              <w:rPr>
                <w:szCs w:val="22"/>
              </w:rPr>
            </w:pPr>
            <w:r w:rsidRPr="00E0192A">
              <w:rPr>
                <w:szCs w:val="22"/>
              </w:rPr>
              <w:t>1</w:t>
            </w:r>
            <w:r w:rsidR="00A31E39">
              <w:rPr>
                <w:szCs w:val="22"/>
              </w:rPr>
              <w:t>0</w:t>
            </w:r>
            <w:r w:rsidRPr="00E0192A">
              <w:rPr>
                <w:szCs w:val="22"/>
              </w:rPr>
              <w:t>.00 hours</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sidRPr="00F11FDA">
              <w:rPr>
                <w:b/>
                <w:szCs w:val="22"/>
              </w:rPr>
              <w:t>2.</w:t>
            </w:r>
            <w:r w:rsidRPr="00F11FDA">
              <w:rPr>
                <w:b/>
                <w:szCs w:val="22"/>
              </w:rPr>
              <w:tab/>
              <w:t>Deadline for requesting any clarifications from the Contracting Authority</w:t>
            </w:r>
          </w:p>
        </w:tc>
        <w:tc>
          <w:tcPr>
            <w:tcW w:w="2552" w:type="dxa"/>
          </w:tcPr>
          <w:p w:rsidR="00851031" w:rsidRPr="00E0192A" w:rsidRDefault="00A31E39" w:rsidP="00107A26">
            <w:pPr>
              <w:spacing w:before="120"/>
              <w:jc w:val="center"/>
              <w:rPr>
                <w:szCs w:val="22"/>
              </w:rPr>
            </w:pPr>
            <w:r>
              <w:rPr>
                <w:szCs w:val="22"/>
              </w:rPr>
              <w:t>8</w:t>
            </w:r>
            <w:r w:rsidR="00851031" w:rsidRPr="00E0192A">
              <w:rPr>
                <w:szCs w:val="22"/>
                <w:vertAlign w:val="superscript"/>
              </w:rPr>
              <w:t>th</w:t>
            </w:r>
            <w:r w:rsidR="00851031" w:rsidRPr="00E0192A">
              <w:rPr>
                <w:szCs w:val="22"/>
              </w:rPr>
              <w:t xml:space="preserve"> </w:t>
            </w:r>
            <w:r w:rsidR="00851031">
              <w:rPr>
                <w:szCs w:val="22"/>
              </w:rPr>
              <w:t>January 2021</w:t>
            </w:r>
          </w:p>
        </w:tc>
        <w:tc>
          <w:tcPr>
            <w:tcW w:w="2551" w:type="dxa"/>
          </w:tcPr>
          <w:p w:rsidR="00851031" w:rsidRPr="00E0192A" w:rsidRDefault="00851031" w:rsidP="00107A26">
            <w:pPr>
              <w:spacing w:before="120"/>
              <w:jc w:val="center"/>
              <w:rPr>
                <w:szCs w:val="22"/>
              </w:rPr>
            </w:pPr>
            <w:r w:rsidRPr="00E0192A">
              <w:rPr>
                <w:szCs w:val="22"/>
              </w:rPr>
              <w:t xml:space="preserve"> 16.00 hours</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sidRPr="00F11FDA">
              <w:rPr>
                <w:b/>
                <w:szCs w:val="22"/>
              </w:rPr>
              <w:t>3.</w:t>
            </w:r>
            <w:r w:rsidRPr="00F11FDA">
              <w:rPr>
                <w:b/>
                <w:szCs w:val="22"/>
              </w:rPr>
              <w:tab/>
              <w:t>Last date on which clarifications are issued by the Contracting Authority</w:t>
            </w:r>
          </w:p>
        </w:tc>
        <w:tc>
          <w:tcPr>
            <w:tcW w:w="2552" w:type="dxa"/>
          </w:tcPr>
          <w:p w:rsidR="00851031" w:rsidRPr="00E0192A" w:rsidRDefault="00A31E39" w:rsidP="00107A26">
            <w:pPr>
              <w:spacing w:before="120"/>
              <w:jc w:val="center"/>
              <w:rPr>
                <w:szCs w:val="22"/>
              </w:rPr>
            </w:pPr>
            <w:r>
              <w:rPr>
                <w:szCs w:val="22"/>
              </w:rPr>
              <w:t>1</w:t>
            </w:r>
            <w:r w:rsidR="00851031">
              <w:rPr>
                <w:szCs w:val="22"/>
              </w:rPr>
              <w:t>5</w:t>
            </w:r>
            <w:r w:rsidR="00851031" w:rsidRPr="00DB41CE">
              <w:rPr>
                <w:szCs w:val="22"/>
                <w:vertAlign w:val="superscript"/>
              </w:rPr>
              <w:t>th</w:t>
            </w:r>
            <w:r w:rsidR="00851031">
              <w:rPr>
                <w:szCs w:val="22"/>
              </w:rPr>
              <w:t xml:space="preserve"> </w:t>
            </w:r>
            <w:r w:rsidR="00851031" w:rsidRPr="00E0192A">
              <w:rPr>
                <w:szCs w:val="22"/>
              </w:rPr>
              <w:t>January 2021</w:t>
            </w:r>
          </w:p>
        </w:tc>
        <w:tc>
          <w:tcPr>
            <w:tcW w:w="2551" w:type="dxa"/>
          </w:tcPr>
          <w:p w:rsidR="00851031" w:rsidRPr="00E0192A" w:rsidRDefault="00851031" w:rsidP="00107A26">
            <w:pPr>
              <w:spacing w:before="120"/>
              <w:jc w:val="center"/>
              <w:rPr>
                <w:szCs w:val="22"/>
              </w:rPr>
            </w:pPr>
            <w:r w:rsidRPr="00E0192A">
              <w:rPr>
                <w:szCs w:val="22"/>
              </w:rPr>
              <w:t>16.00 hours</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sidRPr="00F11FDA">
              <w:rPr>
                <w:b/>
                <w:szCs w:val="22"/>
              </w:rPr>
              <w:t>4.</w:t>
            </w:r>
            <w:r w:rsidRPr="00F11FDA">
              <w:rPr>
                <w:b/>
                <w:szCs w:val="22"/>
              </w:rPr>
              <w:tab/>
              <w:t xml:space="preserve">Deadline for submission of </w:t>
            </w:r>
            <w:r w:rsidRPr="00CE4051">
              <w:rPr>
                <w:b/>
                <w:szCs w:val="22"/>
              </w:rPr>
              <w:t>open procedures: applications</w:t>
            </w:r>
          </w:p>
        </w:tc>
        <w:tc>
          <w:tcPr>
            <w:tcW w:w="2552" w:type="dxa"/>
          </w:tcPr>
          <w:p w:rsidR="00851031" w:rsidRPr="00E0192A" w:rsidRDefault="00A31E39" w:rsidP="00A31E39">
            <w:pPr>
              <w:spacing w:before="120"/>
              <w:jc w:val="center"/>
              <w:rPr>
                <w:szCs w:val="22"/>
              </w:rPr>
            </w:pPr>
            <w:r>
              <w:rPr>
                <w:szCs w:val="22"/>
              </w:rPr>
              <w:t>29</w:t>
            </w:r>
            <w:r w:rsidR="00851031" w:rsidRPr="00E0192A">
              <w:rPr>
                <w:szCs w:val="22"/>
                <w:vertAlign w:val="superscript"/>
              </w:rPr>
              <w:t>th</w:t>
            </w:r>
            <w:r w:rsidR="00851031" w:rsidRPr="00E0192A">
              <w:rPr>
                <w:szCs w:val="22"/>
              </w:rPr>
              <w:t xml:space="preserve"> </w:t>
            </w:r>
            <w:r>
              <w:rPr>
                <w:szCs w:val="22"/>
              </w:rPr>
              <w:t xml:space="preserve">January </w:t>
            </w:r>
            <w:r w:rsidR="00851031" w:rsidRPr="00E0192A">
              <w:rPr>
                <w:szCs w:val="22"/>
              </w:rPr>
              <w:t>2021</w:t>
            </w:r>
          </w:p>
        </w:tc>
        <w:tc>
          <w:tcPr>
            <w:tcW w:w="2551" w:type="dxa"/>
          </w:tcPr>
          <w:p w:rsidR="00851031" w:rsidRPr="00E0192A" w:rsidRDefault="00851031" w:rsidP="00107A26">
            <w:pPr>
              <w:spacing w:before="120"/>
              <w:jc w:val="center"/>
              <w:rPr>
                <w:szCs w:val="22"/>
              </w:rPr>
            </w:pPr>
            <w:r w:rsidRPr="00E0192A">
              <w:rPr>
                <w:szCs w:val="22"/>
              </w:rPr>
              <w:t xml:space="preserve">14.00hours </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sidRPr="00F11FDA">
              <w:rPr>
                <w:b/>
                <w:szCs w:val="22"/>
              </w:rPr>
              <w:t>5.</w:t>
            </w:r>
            <w:r w:rsidRPr="00F11FDA">
              <w:rPr>
                <w:b/>
                <w:szCs w:val="22"/>
              </w:rPr>
              <w:tab/>
              <w:t>Information to lead applicants on opening, administrative checks and concept note evaluation  (Step 1)</w:t>
            </w:r>
          </w:p>
        </w:tc>
        <w:tc>
          <w:tcPr>
            <w:tcW w:w="2552" w:type="dxa"/>
          </w:tcPr>
          <w:p w:rsidR="00851031" w:rsidRPr="00E0192A" w:rsidRDefault="00A31E39" w:rsidP="00A31E39">
            <w:pPr>
              <w:spacing w:before="120"/>
              <w:jc w:val="center"/>
              <w:rPr>
                <w:szCs w:val="22"/>
              </w:rPr>
            </w:pPr>
            <w:r>
              <w:rPr>
                <w:szCs w:val="22"/>
              </w:rPr>
              <w:t>12</w:t>
            </w:r>
            <w:r w:rsidRPr="00A31E39">
              <w:rPr>
                <w:szCs w:val="22"/>
                <w:vertAlign w:val="superscript"/>
              </w:rPr>
              <w:t>th</w:t>
            </w:r>
            <w:r>
              <w:rPr>
                <w:szCs w:val="22"/>
              </w:rPr>
              <w:t xml:space="preserve"> Februar</w:t>
            </w:r>
            <w:bookmarkStart w:id="32" w:name="_GoBack"/>
            <w:bookmarkEnd w:id="32"/>
            <w:r>
              <w:rPr>
                <w:szCs w:val="22"/>
              </w:rPr>
              <w:t xml:space="preserve">y </w:t>
            </w:r>
            <w:r w:rsidR="00851031" w:rsidRPr="00E0192A">
              <w:rPr>
                <w:szCs w:val="22"/>
              </w:rPr>
              <w:t>2021</w:t>
            </w:r>
          </w:p>
        </w:tc>
        <w:tc>
          <w:tcPr>
            <w:tcW w:w="2551" w:type="dxa"/>
          </w:tcPr>
          <w:p w:rsidR="00851031" w:rsidRPr="00E0192A" w:rsidRDefault="00851031" w:rsidP="00107A26">
            <w:pPr>
              <w:spacing w:before="120"/>
              <w:jc w:val="center"/>
              <w:rPr>
                <w:szCs w:val="22"/>
              </w:rPr>
            </w:pPr>
            <w:r w:rsidRPr="00E0192A">
              <w:rPr>
                <w:szCs w:val="22"/>
              </w:rPr>
              <w:t>16.00 hours</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Pr>
                <w:b/>
                <w:szCs w:val="22"/>
              </w:rPr>
              <w:t>6</w:t>
            </w:r>
            <w:r w:rsidRPr="00F11FDA">
              <w:rPr>
                <w:b/>
                <w:szCs w:val="22"/>
              </w:rPr>
              <w:t>.</w:t>
            </w:r>
            <w:r w:rsidRPr="00F11FDA">
              <w:rPr>
                <w:b/>
                <w:szCs w:val="22"/>
              </w:rPr>
              <w:tab/>
              <w:t>Information to lead applicants on the evaluation of the full applications (Step 2)</w:t>
            </w:r>
          </w:p>
        </w:tc>
        <w:tc>
          <w:tcPr>
            <w:tcW w:w="2552" w:type="dxa"/>
          </w:tcPr>
          <w:p w:rsidR="00851031" w:rsidRPr="00E0192A" w:rsidRDefault="00A31E39" w:rsidP="00A31E39">
            <w:pPr>
              <w:spacing w:before="120"/>
              <w:jc w:val="center"/>
              <w:rPr>
                <w:szCs w:val="22"/>
              </w:rPr>
            </w:pPr>
            <w:r>
              <w:rPr>
                <w:szCs w:val="22"/>
              </w:rPr>
              <w:t>26</w:t>
            </w:r>
            <w:r w:rsidRPr="00A31E39">
              <w:rPr>
                <w:szCs w:val="22"/>
                <w:vertAlign w:val="superscript"/>
              </w:rPr>
              <w:t>th</w:t>
            </w:r>
            <w:r>
              <w:rPr>
                <w:szCs w:val="22"/>
              </w:rPr>
              <w:t xml:space="preserve"> February </w:t>
            </w:r>
            <w:r w:rsidR="00851031" w:rsidRPr="00E0192A">
              <w:rPr>
                <w:szCs w:val="22"/>
              </w:rPr>
              <w:t>2021</w:t>
            </w:r>
          </w:p>
        </w:tc>
        <w:tc>
          <w:tcPr>
            <w:tcW w:w="2551" w:type="dxa"/>
          </w:tcPr>
          <w:p w:rsidR="00851031" w:rsidRPr="00E0192A" w:rsidRDefault="00851031" w:rsidP="00107A26">
            <w:pPr>
              <w:spacing w:before="120"/>
              <w:jc w:val="center"/>
              <w:rPr>
                <w:szCs w:val="22"/>
              </w:rPr>
            </w:pPr>
            <w:r w:rsidRPr="00E0192A">
              <w:rPr>
                <w:szCs w:val="22"/>
              </w:rPr>
              <w:t>16.00 hours</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Pr>
                <w:b/>
                <w:szCs w:val="22"/>
              </w:rPr>
              <w:t>7</w:t>
            </w:r>
            <w:r w:rsidRPr="00F11FDA">
              <w:rPr>
                <w:b/>
                <w:szCs w:val="22"/>
              </w:rPr>
              <w:t>.</w:t>
            </w:r>
            <w:r w:rsidRPr="00F11FDA">
              <w:rPr>
                <w:b/>
                <w:szCs w:val="22"/>
              </w:rPr>
              <w:tab/>
              <w:t>Notification of award (after the eligibility check) (Step 3)</w:t>
            </w:r>
          </w:p>
        </w:tc>
        <w:tc>
          <w:tcPr>
            <w:tcW w:w="2552" w:type="dxa"/>
          </w:tcPr>
          <w:p w:rsidR="00851031" w:rsidRPr="00E0192A" w:rsidRDefault="00A31E39" w:rsidP="00A31E39">
            <w:pPr>
              <w:spacing w:before="120"/>
              <w:jc w:val="center"/>
              <w:rPr>
                <w:szCs w:val="22"/>
              </w:rPr>
            </w:pPr>
            <w:r>
              <w:rPr>
                <w:szCs w:val="22"/>
              </w:rPr>
              <w:t>12</w:t>
            </w:r>
            <w:r w:rsidRPr="00A31E39">
              <w:rPr>
                <w:szCs w:val="22"/>
                <w:vertAlign w:val="superscript"/>
              </w:rPr>
              <w:t>th</w:t>
            </w:r>
            <w:r>
              <w:rPr>
                <w:szCs w:val="22"/>
              </w:rPr>
              <w:t xml:space="preserve"> March</w:t>
            </w:r>
            <w:r w:rsidR="00851031" w:rsidRPr="00E0192A">
              <w:rPr>
                <w:szCs w:val="22"/>
              </w:rPr>
              <w:t xml:space="preserve"> 2021</w:t>
            </w:r>
          </w:p>
        </w:tc>
        <w:tc>
          <w:tcPr>
            <w:tcW w:w="2551" w:type="dxa"/>
          </w:tcPr>
          <w:p w:rsidR="00851031" w:rsidRPr="00E0192A" w:rsidRDefault="00851031" w:rsidP="00107A26">
            <w:pPr>
              <w:spacing w:before="120"/>
              <w:jc w:val="center"/>
              <w:rPr>
                <w:szCs w:val="22"/>
              </w:rPr>
            </w:pPr>
            <w:r w:rsidRPr="00E0192A">
              <w:rPr>
                <w:szCs w:val="22"/>
              </w:rPr>
              <w:t>16.00 hours</w:t>
            </w:r>
          </w:p>
        </w:tc>
      </w:tr>
      <w:tr w:rsidR="00851031" w:rsidRPr="00F11FDA" w:rsidTr="00107A26">
        <w:tc>
          <w:tcPr>
            <w:tcW w:w="4678" w:type="dxa"/>
            <w:shd w:val="pct10" w:color="auto" w:fill="FFFFFF"/>
          </w:tcPr>
          <w:p w:rsidR="00851031" w:rsidRPr="00F11FDA" w:rsidRDefault="00851031" w:rsidP="00107A26">
            <w:pPr>
              <w:spacing w:before="120"/>
              <w:ind w:left="318" w:hanging="284"/>
              <w:jc w:val="left"/>
              <w:rPr>
                <w:b/>
                <w:szCs w:val="22"/>
              </w:rPr>
            </w:pPr>
            <w:r>
              <w:rPr>
                <w:b/>
                <w:szCs w:val="22"/>
              </w:rPr>
              <w:t>8</w:t>
            </w:r>
            <w:r w:rsidRPr="00F11FDA">
              <w:rPr>
                <w:b/>
                <w:szCs w:val="22"/>
              </w:rPr>
              <w:tab/>
              <w:t>Contract signature</w:t>
            </w:r>
          </w:p>
        </w:tc>
        <w:tc>
          <w:tcPr>
            <w:tcW w:w="2552" w:type="dxa"/>
          </w:tcPr>
          <w:p w:rsidR="00851031" w:rsidRPr="00E0192A" w:rsidRDefault="00A31E39" w:rsidP="00A31E39">
            <w:pPr>
              <w:spacing w:before="120"/>
              <w:jc w:val="center"/>
              <w:rPr>
                <w:szCs w:val="22"/>
              </w:rPr>
            </w:pPr>
            <w:r>
              <w:rPr>
                <w:szCs w:val="22"/>
              </w:rPr>
              <w:t>26</w:t>
            </w:r>
            <w:r w:rsidRPr="00A31E39">
              <w:rPr>
                <w:szCs w:val="22"/>
                <w:vertAlign w:val="superscript"/>
              </w:rPr>
              <w:t>th</w:t>
            </w:r>
            <w:r>
              <w:rPr>
                <w:szCs w:val="22"/>
              </w:rPr>
              <w:t xml:space="preserve"> March</w:t>
            </w:r>
            <w:r w:rsidR="00851031">
              <w:rPr>
                <w:szCs w:val="22"/>
              </w:rPr>
              <w:t xml:space="preserve"> </w:t>
            </w:r>
            <w:r w:rsidR="00851031" w:rsidRPr="00E0192A">
              <w:rPr>
                <w:szCs w:val="22"/>
              </w:rPr>
              <w:t>2021</w:t>
            </w:r>
          </w:p>
        </w:tc>
        <w:tc>
          <w:tcPr>
            <w:tcW w:w="2551" w:type="dxa"/>
          </w:tcPr>
          <w:p w:rsidR="00851031" w:rsidRPr="00E0192A" w:rsidRDefault="00851031" w:rsidP="00107A26">
            <w:pPr>
              <w:spacing w:before="120"/>
              <w:jc w:val="center"/>
              <w:rPr>
                <w:szCs w:val="22"/>
              </w:rPr>
            </w:pPr>
            <w:r w:rsidRPr="00E0192A">
              <w:rPr>
                <w:szCs w:val="22"/>
              </w:rPr>
              <w:t>16.00 hours</w:t>
            </w:r>
          </w:p>
        </w:tc>
      </w:tr>
    </w:tbl>
    <w:p w:rsidR="00851031" w:rsidRDefault="00851031" w:rsidP="00851031">
      <w:pPr>
        <w:spacing w:before="120"/>
      </w:pPr>
    </w:p>
    <w:p w:rsidR="00851031" w:rsidRPr="00F11FDA" w:rsidRDefault="00851031" w:rsidP="00851031">
      <w:pPr>
        <w:spacing w:before="120"/>
      </w:pPr>
      <w:r w:rsidRPr="00F11FDA">
        <w:t>All times are in the time zone of the country of the Contracting Authority.</w:t>
      </w:r>
    </w:p>
    <w:p w:rsidR="00851031" w:rsidRPr="00F11FDA" w:rsidRDefault="00851031" w:rsidP="00851031">
      <w:r w:rsidRPr="00F11FDA">
        <w:t xml:space="preserve">This indicative timetable refers to provisional dates (except for dates 2, 3, and 4) </w:t>
      </w:r>
      <w:r w:rsidRPr="00F11FDA">
        <w:rPr>
          <w:szCs w:val="22"/>
        </w:rPr>
        <w:t xml:space="preserve">and </w:t>
      </w:r>
      <w:r w:rsidRPr="00F11FDA">
        <w:t xml:space="preserve">may be updated by the Contracting Authority during the procedure. In such cases, the updated timetable will be published on the SADC Secretariat website. </w:t>
      </w:r>
    </w:p>
    <w:p w:rsidR="00851031" w:rsidRPr="00F11FDA" w:rsidRDefault="00851031" w:rsidP="00851031">
      <w:pPr>
        <w:pStyle w:val="Guidelines2"/>
      </w:pPr>
      <w:bookmarkStart w:id="33" w:name="_Toc40507655"/>
      <w:bookmarkStart w:id="34" w:name="_Toc437893864"/>
      <w:r w:rsidRPr="00F11FDA">
        <w:t>Conditions for implementation after the Contracting Authority’s decision to award a grant</w:t>
      </w:r>
      <w:bookmarkEnd w:id="33"/>
      <w:bookmarkEnd w:id="34"/>
    </w:p>
    <w:p w:rsidR="00851031" w:rsidRPr="00F11FDA" w:rsidRDefault="00851031" w:rsidP="00851031">
      <w:pPr>
        <w:spacing w:after="120"/>
      </w:pPr>
      <w:r w:rsidRPr="00F11FDA">
        <w:t xml:space="preserve">Following the decision to award a grant, the </w:t>
      </w:r>
      <w:proofErr w:type="gramStart"/>
      <w:r w:rsidRPr="00F11FDA">
        <w:t>beneficiary(</w:t>
      </w:r>
      <w:proofErr w:type="spellStart"/>
      <w:proofErr w:type="gramEnd"/>
      <w:r w:rsidRPr="00F11FDA">
        <w:t>ies</w:t>
      </w:r>
      <w:proofErr w:type="spellEnd"/>
      <w:r w:rsidRPr="00F11FDA">
        <w:t xml:space="preserve">) will be offered a contract based on the standard grant contract (see Annex F of these guidelines). By signing the grant application form (Annex A of these guidelines), the applicants agree, if awarded a grant, to accept the contractual conditions of the standard grant contract. </w:t>
      </w:r>
      <w:r>
        <w:t xml:space="preserve"> </w:t>
      </w:r>
    </w:p>
    <w:p w:rsidR="00851031" w:rsidRPr="005309A7" w:rsidRDefault="00851031" w:rsidP="00851031">
      <w:pPr>
        <w:spacing w:before="240"/>
        <w:rPr>
          <w:snapToGrid/>
          <w:u w:val="single"/>
        </w:rPr>
      </w:pPr>
      <w:r>
        <w:rPr>
          <w:snapToGrid/>
          <w:u w:val="single"/>
        </w:rPr>
        <w:t>Subcontracting/secondary procurement</w:t>
      </w:r>
    </w:p>
    <w:p w:rsidR="00851031" w:rsidRPr="005309A7" w:rsidRDefault="00851031" w:rsidP="00851031">
      <w:r w:rsidRPr="00F11FDA">
        <w:t xml:space="preserve">Where implementation of the action requires the </w:t>
      </w:r>
      <w:proofErr w:type="gramStart"/>
      <w:r w:rsidRPr="00F11FDA">
        <w:t>beneficiary(</w:t>
      </w:r>
      <w:proofErr w:type="spellStart"/>
      <w:proofErr w:type="gramEnd"/>
      <w:r w:rsidRPr="00F11FDA">
        <w:t>ies</w:t>
      </w:r>
      <w:proofErr w:type="spellEnd"/>
      <w:r w:rsidRPr="00F11FDA">
        <w:t>) and its affiliated entity(</w:t>
      </w:r>
      <w:proofErr w:type="spellStart"/>
      <w:r w:rsidRPr="00F11FDA">
        <w:t>ies</w:t>
      </w:r>
      <w:proofErr w:type="spellEnd"/>
      <w:r w:rsidRPr="00F11FDA">
        <w:t>) (if any) to award procurement contracts, those contracts must be awarded in accordance with article 6 of the Special Conditions of the standard grant contract.</w:t>
      </w:r>
      <w:r>
        <w:t xml:space="preserve">  </w:t>
      </w:r>
    </w:p>
    <w:p w:rsidR="00851031" w:rsidRPr="00F11FDA" w:rsidRDefault="00851031" w:rsidP="00851031"/>
    <w:p w:rsidR="00851031" w:rsidRPr="00F11FDA" w:rsidRDefault="00851031" w:rsidP="00851031">
      <w:pPr>
        <w:pStyle w:val="Guidelines1"/>
        <w:rPr>
          <w:rFonts w:ascii="Times New Roman" w:hAnsi="Times New Roman"/>
        </w:rPr>
      </w:pPr>
      <w:bookmarkStart w:id="35" w:name="_Toc40507656"/>
      <w:r w:rsidRPr="00F11FDA">
        <w:rPr>
          <w:rFonts w:ascii="Times New Roman" w:hAnsi="Times New Roman"/>
        </w:rPr>
        <w:br w:type="page"/>
      </w:r>
      <w:bookmarkStart w:id="36" w:name="_Toc437893865"/>
      <w:r w:rsidRPr="00F11FDA">
        <w:rPr>
          <w:rFonts w:ascii="Times New Roman" w:hAnsi="Times New Roman"/>
        </w:rPr>
        <w:t>LIST OF annexes</w:t>
      </w:r>
      <w:bookmarkEnd w:id="35"/>
      <w:bookmarkEnd w:id="36"/>
    </w:p>
    <w:p w:rsidR="00851031" w:rsidRPr="00F11FDA" w:rsidRDefault="00851031" w:rsidP="00851031">
      <w:pPr>
        <w:rPr>
          <w:b/>
          <w:smallCaps/>
        </w:rPr>
      </w:pPr>
      <w:bookmarkStart w:id="37" w:name="_Toc40507657"/>
      <w:r w:rsidRPr="00F11FDA">
        <w:rPr>
          <w:b/>
          <w:smallCaps/>
        </w:rPr>
        <w:t>Documents to be completed</w:t>
      </w:r>
    </w:p>
    <w:p w:rsidR="00851031" w:rsidRPr="00F11FDA" w:rsidRDefault="00851031" w:rsidP="00851031">
      <w:pPr>
        <w:spacing w:after="80"/>
        <w:ind w:left="1134" w:hanging="1134"/>
      </w:pPr>
      <w:r w:rsidRPr="00F11FDA">
        <w:t>Annex A:</w:t>
      </w:r>
      <w:r w:rsidRPr="00F11FDA">
        <w:tab/>
        <w:t>Grant Application Form (Word format)</w:t>
      </w:r>
      <w:bookmarkEnd w:id="37"/>
    </w:p>
    <w:p w:rsidR="00851031" w:rsidRPr="00F11FDA" w:rsidRDefault="00851031" w:rsidP="00851031">
      <w:pPr>
        <w:spacing w:after="80"/>
        <w:ind w:left="1134" w:hanging="1134"/>
      </w:pPr>
      <w:bookmarkStart w:id="38" w:name="_Toc40507658"/>
      <w:r w:rsidRPr="00F11FDA">
        <w:t>Annex B:</w:t>
      </w:r>
      <w:r w:rsidRPr="00F11FDA">
        <w:tab/>
        <w:t>Budget (Excel format)</w:t>
      </w:r>
      <w:bookmarkEnd w:id="38"/>
    </w:p>
    <w:p w:rsidR="00851031" w:rsidRPr="00F11FDA" w:rsidRDefault="00851031" w:rsidP="00851031">
      <w:pPr>
        <w:spacing w:after="80"/>
        <w:ind w:left="1134" w:hanging="1134"/>
      </w:pPr>
      <w:bookmarkStart w:id="39" w:name="_Toc40507659"/>
      <w:r w:rsidRPr="00C046D4">
        <w:t>Annex C:</w:t>
      </w:r>
      <w:r w:rsidRPr="00C046D4">
        <w:tab/>
        <w:t>Logical Framework (Excel format</w:t>
      </w:r>
      <w:bookmarkEnd w:id="39"/>
      <w:r>
        <w:t>)</w:t>
      </w:r>
    </w:p>
    <w:p w:rsidR="00851031" w:rsidRPr="00F11FDA" w:rsidRDefault="00851031" w:rsidP="00851031">
      <w:pPr>
        <w:spacing w:before="240"/>
        <w:rPr>
          <w:b/>
          <w:smallCaps/>
        </w:rPr>
      </w:pPr>
      <w:bookmarkStart w:id="40" w:name="_Toc40507661"/>
      <w:r w:rsidRPr="00F11FDA">
        <w:rPr>
          <w:b/>
          <w:smallCaps/>
        </w:rPr>
        <w:t>DOCUMENTS FOR INFORMATION</w:t>
      </w:r>
      <w:r w:rsidRPr="00F11FDA">
        <w:rPr>
          <w:rStyle w:val="FootnoteReference"/>
          <w:b/>
          <w:smallCaps/>
        </w:rPr>
        <w:footnoteReference w:id="8"/>
      </w:r>
    </w:p>
    <w:p w:rsidR="00851031" w:rsidRPr="00F11FDA" w:rsidRDefault="00851031" w:rsidP="00851031">
      <w:pPr>
        <w:spacing w:after="120"/>
        <w:ind w:left="1134" w:hanging="1134"/>
        <w:rPr>
          <w:szCs w:val="22"/>
        </w:rPr>
      </w:pPr>
      <w:r w:rsidRPr="00F11FDA">
        <w:t xml:space="preserve">Annex D: </w:t>
      </w:r>
      <w:r w:rsidRPr="00F11FDA">
        <w:rPr>
          <w:szCs w:val="22"/>
        </w:rPr>
        <w:t xml:space="preserve">Daily allowance rates (Per </w:t>
      </w:r>
      <w:proofErr w:type="gramStart"/>
      <w:r w:rsidRPr="00F11FDA">
        <w:rPr>
          <w:szCs w:val="22"/>
        </w:rPr>
        <w:t>diem</w:t>
      </w:r>
      <w:proofErr w:type="gramEnd"/>
      <w:r w:rsidRPr="00F11FDA">
        <w:rPr>
          <w:szCs w:val="22"/>
        </w:rPr>
        <w:t>), available at the following address</w:t>
      </w:r>
    </w:p>
    <w:p w:rsidR="00851031" w:rsidRPr="00F11FDA" w:rsidRDefault="00851031" w:rsidP="00851031">
      <w:pPr>
        <w:spacing w:after="120"/>
        <w:ind w:left="1134" w:hanging="1134"/>
      </w:pPr>
      <w:r w:rsidRPr="00F11FDA">
        <w:rPr>
          <w:szCs w:val="22"/>
        </w:rPr>
        <w:t>Annex E: Guidelines and Checklist for assessing Budget.</w:t>
      </w:r>
    </w:p>
    <w:p w:rsidR="00851031" w:rsidRPr="00F11FDA" w:rsidRDefault="00851031" w:rsidP="00851031">
      <w:pPr>
        <w:spacing w:after="120"/>
        <w:ind w:left="1134" w:hanging="1134"/>
      </w:pPr>
      <w:r w:rsidRPr="00F11FDA">
        <w:t>Annex F:</w:t>
      </w:r>
      <w:r w:rsidRPr="00F11FDA">
        <w:tab/>
        <w:t>Standard Grant Contract</w:t>
      </w:r>
    </w:p>
    <w:bookmarkEnd w:id="40"/>
    <w:p w:rsidR="00851031" w:rsidRPr="00F11FDA" w:rsidRDefault="00851031" w:rsidP="00851031">
      <w:pPr>
        <w:tabs>
          <w:tab w:val="left" w:pos="567"/>
          <w:tab w:val="left" w:pos="1701"/>
        </w:tabs>
        <w:spacing w:after="0"/>
        <w:ind w:left="1701" w:hanging="1276"/>
      </w:pPr>
      <w:r w:rsidRPr="00F11FDA">
        <w:t>-</w:t>
      </w:r>
      <w:r w:rsidRPr="00F11FDA">
        <w:tab/>
        <w:t>Annex II:</w:t>
      </w:r>
      <w:r w:rsidRPr="00F11FDA">
        <w:tab/>
        <w:t xml:space="preserve">general conditions </w:t>
      </w:r>
    </w:p>
    <w:p w:rsidR="00851031" w:rsidRPr="00F11FDA" w:rsidRDefault="00851031" w:rsidP="00851031">
      <w:pPr>
        <w:tabs>
          <w:tab w:val="left" w:pos="567"/>
          <w:tab w:val="left" w:pos="1701"/>
        </w:tabs>
        <w:spacing w:after="0"/>
        <w:ind w:left="1701" w:hanging="1276"/>
      </w:pPr>
      <w:r w:rsidRPr="00F11FDA">
        <w:t>-</w:t>
      </w:r>
      <w:r w:rsidRPr="00F11FDA">
        <w:tab/>
        <w:t>Annex IV:</w:t>
      </w:r>
      <w:r w:rsidRPr="00F11FDA">
        <w:tab/>
        <w:t>standard request for payment</w:t>
      </w:r>
    </w:p>
    <w:p w:rsidR="00851031" w:rsidRPr="00107A26" w:rsidRDefault="00851031" w:rsidP="00851031">
      <w:pPr>
        <w:tabs>
          <w:tab w:val="left" w:pos="567"/>
          <w:tab w:val="left" w:pos="1701"/>
        </w:tabs>
        <w:spacing w:after="0"/>
        <w:ind w:left="1701" w:hanging="1276"/>
        <w:rPr>
          <w:lang w:val="it-IT"/>
        </w:rPr>
      </w:pPr>
      <w:r w:rsidRPr="00107A26">
        <w:rPr>
          <w:lang w:val="it-IT"/>
        </w:rPr>
        <w:t>-</w:t>
      </w:r>
      <w:r w:rsidRPr="00107A26">
        <w:rPr>
          <w:lang w:val="it-IT"/>
        </w:rPr>
        <w:tab/>
        <w:t>Annex V:</w:t>
      </w:r>
      <w:r w:rsidRPr="00107A26">
        <w:rPr>
          <w:lang w:val="it-IT"/>
        </w:rPr>
        <w:tab/>
        <w:t>model narrative report</w:t>
      </w:r>
    </w:p>
    <w:p w:rsidR="00851031" w:rsidRPr="00107A26" w:rsidRDefault="00851031" w:rsidP="00851031">
      <w:pPr>
        <w:tabs>
          <w:tab w:val="left" w:pos="567"/>
          <w:tab w:val="left" w:pos="1701"/>
        </w:tabs>
        <w:spacing w:after="0"/>
        <w:ind w:left="1701" w:hanging="1276"/>
        <w:rPr>
          <w:lang w:val="it-IT"/>
        </w:rPr>
      </w:pPr>
      <w:r w:rsidRPr="00107A26">
        <w:rPr>
          <w:lang w:val="it-IT"/>
        </w:rPr>
        <w:t>- Annex VI:</w:t>
      </w:r>
      <w:r w:rsidRPr="00107A26">
        <w:rPr>
          <w:lang w:val="it-IT"/>
        </w:rPr>
        <w:tab/>
        <w:t>model financial report</w:t>
      </w:r>
    </w:p>
    <w:p w:rsidR="00851031" w:rsidRPr="00F11FDA" w:rsidRDefault="00851031" w:rsidP="00851031">
      <w:pPr>
        <w:tabs>
          <w:tab w:val="left" w:pos="567"/>
          <w:tab w:val="left" w:pos="1701"/>
        </w:tabs>
        <w:spacing w:after="0"/>
        <w:ind w:left="1701" w:hanging="1276"/>
        <w:rPr>
          <w:highlight w:val="lightGray"/>
        </w:rPr>
      </w:pPr>
      <w:r w:rsidRPr="00F11FDA">
        <w:t>[</w:t>
      </w:r>
      <w:r w:rsidRPr="00F11FDA">
        <w:rPr>
          <w:highlight w:val="lightGray"/>
        </w:rPr>
        <w:t>-Annex VII:</w:t>
      </w:r>
      <w:r w:rsidRPr="00F11FDA">
        <w:rPr>
          <w:highlight w:val="lightGray"/>
        </w:rPr>
        <w:tab/>
        <w:t xml:space="preserve">model report of factual findings and terms of reference for an expenditure </w:t>
      </w:r>
      <w:proofErr w:type="gramStart"/>
      <w:r w:rsidRPr="00F11FDA">
        <w:rPr>
          <w:highlight w:val="lightGray"/>
        </w:rPr>
        <w:t xml:space="preserve">verification </w:t>
      </w:r>
      <w:r w:rsidRPr="00F11FDA">
        <w:t>]</w:t>
      </w:r>
      <w:proofErr w:type="gramEnd"/>
    </w:p>
    <w:p w:rsidR="00851031" w:rsidRPr="00F11FDA" w:rsidRDefault="00851031" w:rsidP="00851031">
      <w:pPr>
        <w:tabs>
          <w:tab w:val="left" w:pos="567"/>
          <w:tab w:val="left" w:pos="1701"/>
        </w:tabs>
        <w:spacing w:after="0"/>
        <w:ind w:left="1701" w:hanging="1276"/>
      </w:pPr>
      <w:r w:rsidRPr="00F11FDA">
        <w:t>[</w:t>
      </w:r>
      <w:r w:rsidRPr="00F11FDA">
        <w:rPr>
          <w:highlight w:val="lightGray"/>
        </w:rPr>
        <w:t>-Annex VIII:</w:t>
      </w:r>
      <w:r w:rsidRPr="00F11FDA">
        <w:rPr>
          <w:highlight w:val="lightGray"/>
        </w:rPr>
        <w:tab/>
        <w:t>model financial guarantee</w:t>
      </w:r>
      <w:r w:rsidRPr="00F11FDA">
        <w:t>]</w:t>
      </w:r>
    </w:p>
    <w:p w:rsidR="00851031" w:rsidRPr="00F11FDA" w:rsidRDefault="00851031" w:rsidP="00851031">
      <w:pPr>
        <w:tabs>
          <w:tab w:val="left" w:pos="567"/>
          <w:tab w:val="left" w:pos="1701"/>
        </w:tabs>
        <w:spacing w:after="0"/>
        <w:ind w:left="1701" w:hanging="1276"/>
      </w:pPr>
      <w:r w:rsidRPr="00F11FDA">
        <w:t>[</w:t>
      </w:r>
      <w:r w:rsidRPr="00F11FDA">
        <w:rPr>
          <w:shd w:val="clear" w:color="auto" w:fill="B3B3B3"/>
        </w:rPr>
        <w:t>-Annex IX:</w:t>
      </w:r>
      <w:r w:rsidRPr="00F11FDA">
        <w:rPr>
          <w:shd w:val="clear" w:color="auto" w:fill="B3B3B3"/>
        </w:rPr>
        <w:tab/>
        <w:t>standard template for transfer of ownership of assets</w:t>
      </w:r>
      <w:r w:rsidRPr="00F11FDA">
        <w:t>]</w:t>
      </w:r>
    </w:p>
    <w:p w:rsidR="00851031" w:rsidRPr="00F11FDA" w:rsidRDefault="00851031" w:rsidP="00851031">
      <w:pPr>
        <w:tabs>
          <w:tab w:val="left" w:pos="567"/>
          <w:tab w:val="left" w:pos="1701"/>
        </w:tabs>
        <w:spacing w:after="0"/>
      </w:pPr>
    </w:p>
    <w:p w:rsidR="00851031" w:rsidRPr="00F11FDA" w:rsidRDefault="00851031" w:rsidP="00851031">
      <w:pPr>
        <w:spacing w:after="0"/>
        <w:jc w:val="center"/>
        <w:rPr>
          <w:b/>
          <w:szCs w:val="22"/>
          <w:highlight w:val="magenta"/>
        </w:rPr>
      </w:pPr>
      <w:r w:rsidRPr="00F11FDA">
        <w:rPr>
          <w:szCs w:val="22"/>
        </w:rPr>
        <w:t>* * *</w:t>
      </w:r>
    </w:p>
    <w:p w:rsidR="0088571D" w:rsidRDefault="0088571D"/>
    <w:sectPr w:rsidR="00885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C86" w:rsidRDefault="00FE2C86" w:rsidP="00851031">
      <w:pPr>
        <w:spacing w:after="0"/>
      </w:pPr>
      <w:r>
        <w:separator/>
      </w:r>
    </w:p>
  </w:endnote>
  <w:endnote w:type="continuationSeparator" w:id="0">
    <w:p w:rsidR="00FE2C86" w:rsidRDefault="00FE2C86" w:rsidP="00851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altName w:val="Candara"/>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31" w:rsidRDefault="00851031" w:rsidP="00EB037A">
    <w:pPr>
      <w:pStyle w:val="Footer"/>
      <w:tabs>
        <w:tab w:val="center" w:pos="4819"/>
        <w:tab w:val="right" w:pos="9638"/>
      </w:tabs>
    </w:pPr>
    <w:r>
      <w:t>[Type text]</w:t>
    </w:r>
    <w:r>
      <w:tab/>
      <w:t>[Type text]</w:t>
    </w:r>
    <w:r>
      <w:tab/>
      <w:t>[Type text][Type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31" w:rsidRPr="00A016F9" w:rsidRDefault="00851031" w:rsidP="00EB037A">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A31E39">
      <w:rPr>
        <w:rFonts w:ascii="Times New Roman" w:hAnsi="Times New Roman"/>
        <w:noProof/>
        <w:sz w:val="18"/>
        <w:szCs w:val="18"/>
      </w:rPr>
      <w:t>28</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A31E39">
      <w:rPr>
        <w:rFonts w:ascii="Times New Roman" w:hAnsi="Times New Roman"/>
        <w:noProof/>
        <w:sz w:val="18"/>
        <w:szCs w:val="18"/>
      </w:rPr>
      <w:t>29</w:t>
    </w:r>
    <w:r>
      <w:rPr>
        <w:rFonts w:ascii="Times New Roman" w:hAnsi="Times New Roman"/>
        <w:sz w:val="18"/>
        <w:szCs w:val="18"/>
      </w:rPr>
      <w:fldChar w:fldCharType="end"/>
    </w:r>
  </w:p>
  <w:p w:rsidR="00851031" w:rsidRPr="00491F8A" w:rsidRDefault="00851031" w:rsidP="00491F8A">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31" w:rsidRDefault="00851031" w:rsidP="00BE59B0">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r>
  </w:p>
  <w:p w:rsidR="00851031" w:rsidRPr="00491F8A" w:rsidRDefault="00851031" w:rsidP="00491F8A">
    <w:pPr>
      <w:pStyle w:val="Footer"/>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31" w:rsidRDefault="00851031" w:rsidP="00EB037A">
    <w:pPr>
      <w:pStyle w:val="Footer"/>
      <w:tabs>
        <w:tab w:val="right" w:pos="9639"/>
      </w:tabs>
      <w:spacing w:after="0"/>
      <w:jc w:val="center"/>
      <w:rPr>
        <w:rFonts w:ascii="Times New Roman" w:hAnsi="Times New Roman"/>
        <w:sz w:val="18"/>
        <w:szCs w:val="18"/>
      </w:rPr>
    </w:pPr>
    <w:r w:rsidRPr="00A016F9">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A31E39">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A31E39">
      <w:rPr>
        <w:rFonts w:ascii="Times New Roman" w:hAnsi="Times New Roman"/>
        <w:noProof/>
        <w:sz w:val="18"/>
        <w:szCs w:val="18"/>
      </w:rPr>
      <w:t>29</w:t>
    </w:r>
    <w:r>
      <w:rPr>
        <w:rFonts w:ascii="Times New Roman" w:hAnsi="Times New Roman"/>
        <w:sz w:val="18"/>
        <w:szCs w:val="18"/>
      </w:rPr>
      <w:fldChar w:fldCharType="end"/>
    </w:r>
  </w:p>
  <w:p w:rsidR="00851031" w:rsidRPr="00491F8A" w:rsidRDefault="00851031" w:rsidP="00491F8A">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C86" w:rsidRDefault="00FE2C86" w:rsidP="00851031">
      <w:pPr>
        <w:spacing w:after="0"/>
      </w:pPr>
      <w:r>
        <w:separator/>
      </w:r>
    </w:p>
  </w:footnote>
  <w:footnote w:type="continuationSeparator" w:id="0">
    <w:p w:rsidR="00FE2C86" w:rsidRDefault="00FE2C86" w:rsidP="00851031">
      <w:pPr>
        <w:spacing w:after="0"/>
      </w:pPr>
      <w:r>
        <w:continuationSeparator/>
      </w:r>
    </w:p>
  </w:footnote>
  <w:footnote w:id="1">
    <w:p w:rsidR="00851031" w:rsidRPr="00F25A29" w:rsidRDefault="00851031" w:rsidP="00851031">
      <w:pPr>
        <w:pStyle w:val="FootnoteText"/>
      </w:pPr>
      <w:r>
        <w:rPr>
          <w:rStyle w:val="FootnoteReference"/>
        </w:rPr>
        <w:footnoteRef/>
      </w:r>
      <w:r>
        <w:t xml:space="preserve"> </w:t>
      </w:r>
      <w:bookmarkStart w:id="7" w:name="_Hlk50714635"/>
      <w:r w:rsidRPr="005C7D63">
        <w:t>Article 4 (1) of the said Protocol</w:t>
      </w:r>
      <w:r>
        <w:t xml:space="preserve"> 3</w:t>
      </w:r>
      <w:r w:rsidRPr="005C7D63">
        <w:t xml:space="preserve"> excludes South Africa as a beneficiary from EU Development Finance. However, natural and legal persons from South Africa are allowed to parti</w:t>
      </w:r>
      <w:r>
        <w:t xml:space="preserve">cipate in awards of contracts financed from the financial </w:t>
      </w:r>
      <w:r w:rsidRPr="005C7D63">
        <w:t xml:space="preserve">resources under the </w:t>
      </w:r>
      <w:proofErr w:type="spellStart"/>
      <w:r w:rsidRPr="005C7D63">
        <w:t>Cotonou</w:t>
      </w:r>
      <w:proofErr w:type="spellEnd"/>
      <w:r w:rsidRPr="005C7D63">
        <w:t xml:space="preserve"> Agreement and that part</w:t>
      </w:r>
      <w:r>
        <w:t xml:space="preserve">icipation does not benefit from the preferences accorded to </w:t>
      </w:r>
      <w:r w:rsidRPr="005C7D63">
        <w:t>natural and legal persons from ACP States</w:t>
      </w:r>
      <w:bookmarkEnd w:id="7"/>
      <w:r>
        <w:t>.</w:t>
      </w:r>
    </w:p>
  </w:footnote>
  <w:footnote w:id="2">
    <w:p w:rsidR="00851031" w:rsidRPr="00DB06F5" w:rsidRDefault="00851031" w:rsidP="00851031">
      <w:pPr>
        <w:pStyle w:val="FootnoteText"/>
      </w:pPr>
      <w:r>
        <w:rPr>
          <w:rStyle w:val="FootnoteReference"/>
        </w:rPr>
        <w:footnoteRef/>
      </w:r>
      <w:r>
        <w:t xml:space="preserve"> </w:t>
      </w:r>
      <w:r w:rsidRPr="00DB06F5">
        <w:t xml:space="preserve">These </w:t>
      </w:r>
      <w:r>
        <w:t>third parties</w:t>
      </w:r>
      <w:r w:rsidRPr="00DB06F5">
        <w:t xml:space="preserve"> are neither affiliated </w:t>
      </w:r>
      <w:proofErr w:type="gramStart"/>
      <w:r w:rsidRPr="00DB06F5">
        <w:t>entity(</w:t>
      </w:r>
      <w:proofErr w:type="spellStart"/>
      <w:proofErr w:type="gramEnd"/>
      <w:r w:rsidRPr="00DB06F5">
        <w:t>ies</w:t>
      </w:r>
      <w:proofErr w:type="spellEnd"/>
      <w:r w:rsidRPr="00DB06F5">
        <w:t>) nor associates nor contractors.</w:t>
      </w:r>
    </w:p>
  </w:footnote>
  <w:footnote w:id="3">
    <w:p w:rsidR="00851031" w:rsidRDefault="00851031" w:rsidP="00851031">
      <w:pPr>
        <w:pStyle w:val="FootnoteText"/>
      </w:pPr>
      <w:r>
        <w:footnoteRef/>
      </w:r>
      <w:r>
        <w:tab/>
      </w:r>
      <w:r w:rsidRPr="00DE4085">
        <w:t>Examples</w:t>
      </w:r>
      <w:proofErr w:type="gramStart"/>
      <w:r>
        <w:t>:</w:t>
      </w:r>
      <w:r w:rsidRPr="00DE4085">
        <w:t>-</w:t>
      </w:r>
      <w:proofErr w:type="gramEnd"/>
      <w:r w:rsidRPr="00DE4085">
        <w:t xml:space="preserve">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w:t>
      </w:r>
      <w:r>
        <w:t xml:space="preserve"> etc</w:t>
      </w:r>
      <w:r w:rsidRPr="00DE4085">
        <w:t>.</w:t>
      </w:r>
    </w:p>
  </w:footnote>
  <w:footnote w:id="4">
    <w:p w:rsidR="00851031" w:rsidRPr="00A016F9" w:rsidRDefault="00851031" w:rsidP="00851031">
      <w:pPr>
        <w:pStyle w:val="FootnoteText"/>
      </w:pPr>
      <w:r w:rsidRPr="00A016F9">
        <w:footnoteRef/>
      </w:r>
      <w:r w:rsidRPr="00A016F9">
        <w:tab/>
      </w:r>
      <w:r w:rsidRPr="00B032EC">
        <w:t>The Contracting Authority may decide not to request supporting documents for applications for a grant not exceeding USD 60 000</w:t>
      </w:r>
      <w:r w:rsidRPr="00B032EC">
        <w:rPr>
          <w:color w:val="FF0000"/>
        </w:rPr>
        <w:t>.</w:t>
      </w:r>
    </w:p>
  </w:footnote>
  <w:footnote w:id="5">
    <w:p w:rsidR="00851031" w:rsidRPr="00A016F9" w:rsidRDefault="00851031" w:rsidP="00851031">
      <w:pPr>
        <w:pStyle w:val="FootnoteText"/>
      </w:pPr>
      <w:r w:rsidRPr="00A016F9">
        <w:footnoteRef/>
      </w:r>
      <w:r w:rsidRPr="00A016F9">
        <w:tab/>
        <w:t xml:space="preserve">Where </w:t>
      </w:r>
      <w:r>
        <w:t>the lead a</w:t>
      </w:r>
      <w:r w:rsidRPr="00A016F9">
        <w:t xml:space="preserve">pplicant </w:t>
      </w:r>
      <w:r>
        <w:t>and/or a co-applicant(s) and or an</w:t>
      </w:r>
      <w:r w:rsidRPr="00A016F9">
        <w:t xml:space="preserve"> </w:t>
      </w:r>
      <w:r w:rsidRPr="000D40CC">
        <w:t>affilia</w:t>
      </w:r>
      <w:r>
        <w:t xml:space="preserve">ted </w:t>
      </w:r>
      <w:proofErr w:type="gramStart"/>
      <w:r>
        <w:t>entity(</w:t>
      </w:r>
      <w:proofErr w:type="spellStart"/>
      <w:proofErr w:type="gramEnd"/>
      <w:r>
        <w:t>ies</w:t>
      </w:r>
      <w:proofErr w:type="spellEnd"/>
      <w:r>
        <w:t>)</w:t>
      </w:r>
      <w:r w:rsidRPr="000D40CC">
        <w:t xml:space="preserve"> </w:t>
      </w:r>
      <w:r w:rsidRPr="00A016F9">
        <w:t>is a public body created by a law, a copy of the said law must be provided</w:t>
      </w:r>
      <w:r>
        <w:t>.</w:t>
      </w:r>
    </w:p>
  </w:footnote>
  <w:footnote w:id="6">
    <w:p w:rsidR="00851031" w:rsidRPr="00A016F9" w:rsidRDefault="00851031" w:rsidP="00851031">
      <w:pPr>
        <w:pStyle w:val="FootnoteText"/>
      </w:pPr>
      <w:r w:rsidRPr="00A016F9">
        <w:footnoteRef/>
      </w:r>
      <w:r w:rsidRPr="00A016F9">
        <w:tab/>
        <w:t>To be inserted only where the eligibility conditions have not changed from one call for proposals to the other.</w:t>
      </w:r>
    </w:p>
  </w:footnote>
  <w:footnote w:id="7">
    <w:p w:rsidR="00851031" w:rsidRPr="00A016F9" w:rsidRDefault="00851031" w:rsidP="00851031">
      <w:pPr>
        <w:pStyle w:val="FootnoteText"/>
      </w:pPr>
      <w:r w:rsidRPr="00A016F9">
        <w:footnoteRef/>
      </w:r>
      <w:r w:rsidRPr="00A016F9">
        <w:t xml:space="preserve"> </w:t>
      </w:r>
      <w:r w:rsidRPr="00A016F9">
        <w:tab/>
        <w:t>This obligation does not apply to natural persons who have received a scholarship</w:t>
      </w:r>
      <w:r w:rsidRPr="00B22511">
        <w:t xml:space="preserve"> </w:t>
      </w:r>
      <w:r>
        <w:t>or that are</w:t>
      </w:r>
      <w:r w:rsidRPr="00B22511">
        <w:t xml:space="preserve"> in most need in receipt of direct support</w:t>
      </w:r>
      <w:r w:rsidRPr="00A016F9">
        <w:t xml:space="preserve">, nor to public bodies </w:t>
      </w:r>
      <w:r>
        <w:t>and</w:t>
      </w:r>
      <w:r w:rsidRPr="00A016F9">
        <w:t xml:space="preserve"> to international organisations. It does not apply either when the accounts are in practice the same documents as the external audit report already provided pursuant to </w:t>
      </w:r>
      <w:r>
        <w:t>s</w:t>
      </w:r>
      <w:r w:rsidRPr="00A016F9">
        <w:t xml:space="preserve">ection 2.4.2. </w:t>
      </w:r>
    </w:p>
  </w:footnote>
  <w:footnote w:id="8">
    <w:p w:rsidR="00851031" w:rsidRPr="0025435C" w:rsidRDefault="00851031" w:rsidP="00851031">
      <w:pPr>
        <w:pStyle w:val="FootnoteText"/>
        <w:spacing w:before="0"/>
      </w:pPr>
      <w:r>
        <w:rPr>
          <w:rStyle w:val="FootnoteReference"/>
        </w:rPr>
        <w:footnoteRef/>
      </w:r>
      <w:r>
        <w:t xml:space="preserve"> The Contracting Authority must</w:t>
      </w:r>
      <w:r w:rsidRPr="008503BC">
        <w:t xml:space="preserve"> also publish these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02026E60"/>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1A24832"/>
    <w:multiLevelType w:val="hybridMultilevel"/>
    <w:tmpl w:val="27C64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46C88"/>
    <w:multiLevelType w:val="hybridMultilevel"/>
    <w:tmpl w:val="B92C8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B241C"/>
    <w:multiLevelType w:val="hybridMultilevel"/>
    <w:tmpl w:val="FCB2CE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935DE"/>
    <w:multiLevelType w:val="hybridMultilevel"/>
    <w:tmpl w:val="1C02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50409A"/>
    <w:multiLevelType w:val="hybridMultilevel"/>
    <w:tmpl w:val="362EED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E9060D"/>
    <w:multiLevelType w:val="hybridMultilevel"/>
    <w:tmpl w:val="9B1E623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3"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4"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2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0A4636"/>
    <w:multiLevelType w:val="hybridMultilevel"/>
    <w:tmpl w:val="C33C7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753821"/>
    <w:multiLevelType w:val="hybridMultilevel"/>
    <w:tmpl w:val="BA5295FC"/>
    <w:lvl w:ilvl="0" w:tplc="0809000F">
      <w:start w:val="1"/>
      <w:numFmt w:val="decimal"/>
      <w:lvlText w:val="%1."/>
      <w:lvlJc w:val="left"/>
      <w:pPr>
        <w:ind w:left="78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15:restartNumberingAfterBreak="0">
    <w:nsid w:val="6B5D15AC"/>
    <w:multiLevelType w:val="hybridMultilevel"/>
    <w:tmpl w:val="C45446BC"/>
    <w:lvl w:ilvl="0" w:tplc="DA58FAB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04FD1"/>
    <w:multiLevelType w:val="hybridMultilevel"/>
    <w:tmpl w:val="5FD622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FA1E7F"/>
    <w:multiLevelType w:val="hybridMultilevel"/>
    <w:tmpl w:val="2904E750"/>
    <w:lvl w:ilvl="0" w:tplc="08090001">
      <w:start w:val="1"/>
      <w:numFmt w:val="bullet"/>
      <w:lvlText w:val=""/>
      <w:lvlJc w:val="left"/>
      <w:pPr>
        <w:ind w:left="517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6"/>
  </w:num>
  <w:num w:numId="4">
    <w:abstractNumId w:val="21"/>
  </w:num>
  <w:num w:numId="5">
    <w:abstractNumId w:val="3"/>
  </w:num>
  <w:num w:numId="6">
    <w:abstractNumId w:val="4"/>
  </w:num>
  <w:num w:numId="7">
    <w:abstractNumId w:val="17"/>
  </w:num>
  <w:num w:numId="8">
    <w:abstractNumId w:val="25"/>
  </w:num>
  <w:num w:numId="9">
    <w:abstractNumId w:val="29"/>
  </w:num>
  <w:num w:numId="10">
    <w:abstractNumId w:val="14"/>
  </w:num>
  <w:num w:numId="11">
    <w:abstractNumId w:val="8"/>
  </w:num>
  <w:num w:numId="12">
    <w:abstractNumId w:val="1"/>
  </w:num>
  <w:num w:numId="13">
    <w:abstractNumId w:val="36"/>
  </w:num>
  <w:num w:numId="14">
    <w:abstractNumId w:val="20"/>
  </w:num>
  <w:num w:numId="15">
    <w:abstractNumId w:val="7"/>
  </w:num>
  <w:num w:numId="16">
    <w:abstractNumId w:val="28"/>
  </w:num>
  <w:num w:numId="17">
    <w:abstractNumId w:val="31"/>
  </w:num>
  <w:num w:numId="18">
    <w:abstractNumId w:val="9"/>
  </w:num>
  <w:num w:numId="19">
    <w:abstractNumId w:val="32"/>
  </w:num>
  <w:num w:numId="2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num>
  <w:num w:numId="23">
    <w:abstractNumId w:val="35"/>
  </w:num>
  <w:num w:numId="24">
    <w:abstractNumId w:val="12"/>
  </w:num>
  <w:num w:numId="25">
    <w:abstractNumId w:val="5"/>
  </w:num>
  <w:num w:numId="26">
    <w:abstractNumId w:val="16"/>
  </w:num>
  <w:num w:numId="27">
    <w:abstractNumId w:val="19"/>
  </w:num>
  <w:num w:numId="28">
    <w:abstractNumId w:val="23"/>
  </w:num>
  <w:num w:numId="29">
    <w:abstractNumId w:val="34"/>
  </w:num>
  <w:num w:numId="30">
    <w:abstractNumId w:val="6"/>
  </w:num>
  <w:num w:numId="31">
    <w:abstractNumId w:val="11"/>
  </w:num>
  <w:num w:numId="32">
    <w:abstractNumId w:val="13"/>
  </w:num>
  <w:num w:numId="33">
    <w:abstractNumId w:val="18"/>
  </w:num>
  <w:num w:numId="34">
    <w:abstractNumId w:val="33"/>
  </w:num>
  <w:num w:numId="35">
    <w:abstractNumId w:val="30"/>
  </w:num>
  <w:num w:numId="36">
    <w:abstractNumId w:val="22"/>
  </w:num>
  <w:num w:numId="37">
    <w:abstractNumId w:val="2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31"/>
    <w:rsid w:val="001C6FCE"/>
    <w:rsid w:val="007A2DA0"/>
    <w:rsid w:val="008075AD"/>
    <w:rsid w:val="00851031"/>
    <w:rsid w:val="0088571D"/>
    <w:rsid w:val="00A31E39"/>
    <w:rsid w:val="00C21131"/>
    <w:rsid w:val="00FE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0DC7"/>
  <w15:chartTrackingRefBased/>
  <w15:docId w15:val="{D5C4D5E3-CE9C-495B-9CFC-CE343F7D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031"/>
    <w:pPr>
      <w:spacing w:after="200" w:line="240" w:lineRule="auto"/>
      <w:jc w:val="both"/>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qFormat/>
    <w:rsid w:val="0085103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51031"/>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link w:val="Heading3Char"/>
    <w:qFormat/>
    <w:rsid w:val="00851031"/>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qFormat/>
    <w:rsid w:val="00851031"/>
    <w:pPr>
      <w:keepNext/>
      <w:spacing w:after="240"/>
      <w:ind w:left="1984" w:hanging="782"/>
      <w:outlineLvl w:val="3"/>
    </w:pPr>
  </w:style>
  <w:style w:type="paragraph" w:styleId="Heading5">
    <w:name w:val="heading 5"/>
    <w:basedOn w:val="Normal"/>
    <w:next w:val="Normal"/>
    <w:link w:val="Heading5Char"/>
    <w:qFormat/>
    <w:rsid w:val="00851031"/>
    <w:pPr>
      <w:numPr>
        <w:ilvl w:val="1"/>
        <w:numId w:val="6"/>
      </w:numPr>
      <w:tabs>
        <w:tab w:val="num" w:pos="0"/>
      </w:tabs>
      <w:spacing w:before="240" w:after="60"/>
      <w:outlineLvl w:val="4"/>
    </w:pPr>
    <w:rPr>
      <w:rFonts w:ascii="Arial" w:hAnsi="Arial"/>
    </w:rPr>
  </w:style>
  <w:style w:type="paragraph" w:styleId="Heading6">
    <w:name w:val="heading 6"/>
    <w:basedOn w:val="Normal"/>
    <w:next w:val="Normal"/>
    <w:link w:val="Heading6Char"/>
    <w:qFormat/>
    <w:rsid w:val="00851031"/>
    <w:pPr>
      <w:numPr>
        <w:ilvl w:val="2"/>
        <w:numId w:val="6"/>
      </w:numPr>
      <w:tabs>
        <w:tab w:val="num" w:pos="0"/>
      </w:tabs>
      <w:spacing w:before="240" w:after="60"/>
      <w:outlineLvl w:val="5"/>
    </w:pPr>
    <w:rPr>
      <w:rFonts w:ascii="Arial" w:hAnsi="Arial"/>
      <w:i/>
    </w:rPr>
  </w:style>
  <w:style w:type="paragraph" w:styleId="Heading7">
    <w:name w:val="heading 7"/>
    <w:basedOn w:val="Normal"/>
    <w:next w:val="Normal"/>
    <w:link w:val="Heading7Char"/>
    <w:qFormat/>
    <w:rsid w:val="00851031"/>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link w:val="Heading8Char"/>
    <w:qFormat/>
    <w:rsid w:val="00851031"/>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link w:val="Heading9Char"/>
    <w:qFormat/>
    <w:rsid w:val="00851031"/>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031"/>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851031"/>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851031"/>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851031"/>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851031"/>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851031"/>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851031"/>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851031"/>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851031"/>
    <w:rPr>
      <w:rFonts w:ascii="Arial" w:eastAsia="Times New Roman" w:hAnsi="Arial" w:cs="Times New Roman"/>
      <w:i/>
      <w:snapToGrid w:val="0"/>
      <w:sz w:val="18"/>
      <w:szCs w:val="20"/>
      <w:lang w:val="en-GB"/>
    </w:rPr>
  </w:style>
  <w:style w:type="paragraph" w:customStyle="1" w:styleId="Text4">
    <w:name w:val="Text 4"/>
    <w:basedOn w:val="Normal"/>
    <w:rsid w:val="00851031"/>
    <w:pPr>
      <w:tabs>
        <w:tab w:val="left" w:pos="2302"/>
      </w:tabs>
      <w:spacing w:after="240"/>
      <w:ind w:left="1202"/>
    </w:pPr>
  </w:style>
  <w:style w:type="paragraph" w:customStyle="1" w:styleId="Application1">
    <w:name w:val="Application1"/>
    <w:basedOn w:val="Heading1"/>
    <w:next w:val="Application2"/>
    <w:rsid w:val="00851031"/>
    <w:pPr>
      <w:pageBreakBefore/>
      <w:widowControl w:val="0"/>
      <w:numPr>
        <w:numId w:val="3"/>
      </w:numPr>
      <w:spacing w:before="0" w:after="480"/>
    </w:pPr>
    <w:rPr>
      <w:caps/>
    </w:rPr>
  </w:style>
  <w:style w:type="paragraph" w:customStyle="1" w:styleId="Application2">
    <w:name w:val="Application2"/>
    <w:basedOn w:val="Normal"/>
    <w:rsid w:val="00851031"/>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851031"/>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851031"/>
    <w:pPr>
      <w:numPr>
        <w:numId w:val="0"/>
      </w:numPr>
      <w:ind w:left="567"/>
    </w:pPr>
    <w:rPr>
      <w:sz w:val="20"/>
    </w:rPr>
  </w:style>
  <w:style w:type="paragraph" w:customStyle="1" w:styleId="Application5">
    <w:name w:val="Application5"/>
    <w:basedOn w:val="Application2"/>
    <w:autoRedefine/>
    <w:rsid w:val="00851031"/>
    <w:pPr>
      <w:numPr>
        <w:numId w:val="0"/>
      </w:numPr>
      <w:tabs>
        <w:tab w:val="clear" w:pos="567"/>
        <w:tab w:val="num" w:pos="0"/>
      </w:tabs>
      <w:ind w:left="360" w:hanging="360"/>
    </w:pPr>
    <w:rPr>
      <w:sz w:val="24"/>
    </w:rPr>
  </w:style>
  <w:style w:type="paragraph" w:customStyle="1" w:styleId="NumPar4">
    <w:name w:val="NumPar 4"/>
    <w:basedOn w:val="Heading4"/>
    <w:next w:val="Text4"/>
    <w:rsid w:val="00851031"/>
    <w:pPr>
      <w:keepNext w:val="0"/>
    </w:pPr>
  </w:style>
  <w:style w:type="paragraph" w:styleId="Title">
    <w:name w:val="Title"/>
    <w:basedOn w:val="Normal"/>
    <w:next w:val="SubTitle1"/>
    <w:link w:val="TitleChar"/>
    <w:qFormat/>
    <w:rsid w:val="00851031"/>
    <w:pPr>
      <w:spacing w:after="480"/>
      <w:jc w:val="center"/>
    </w:pPr>
    <w:rPr>
      <w:b/>
      <w:sz w:val="48"/>
    </w:rPr>
  </w:style>
  <w:style w:type="character" w:customStyle="1" w:styleId="TitleChar">
    <w:name w:val="Title Char"/>
    <w:basedOn w:val="DefaultParagraphFont"/>
    <w:link w:val="Title"/>
    <w:rsid w:val="00851031"/>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851031"/>
    <w:pPr>
      <w:spacing w:after="240"/>
      <w:jc w:val="center"/>
    </w:pPr>
    <w:rPr>
      <w:b/>
      <w:sz w:val="40"/>
    </w:rPr>
  </w:style>
  <w:style w:type="paragraph" w:customStyle="1" w:styleId="SubTitle2">
    <w:name w:val="SubTitle 2"/>
    <w:basedOn w:val="Normal"/>
    <w:rsid w:val="00851031"/>
    <w:pPr>
      <w:spacing w:after="240"/>
      <w:jc w:val="center"/>
    </w:pPr>
    <w:rPr>
      <w:b/>
      <w:sz w:val="32"/>
    </w:rPr>
  </w:style>
  <w:style w:type="paragraph" w:customStyle="1" w:styleId="PartTitle">
    <w:name w:val="PartTitle"/>
    <w:basedOn w:val="Normal"/>
    <w:next w:val="Normal"/>
    <w:rsid w:val="00851031"/>
    <w:pPr>
      <w:keepNext/>
      <w:pageBreakBefore/>
      <w:spacing w:after="480"/>
      <w:jc w:val="center"/>
    </w:pPr>
    <w:rPr>
      <w:b/>
      <w:sz w:val="36"/>
    </w:rPr>
  </w:style>
  <w:style w:type="paragraph" w:customStyle="1" w:styleId="SectionTitle">
    <w:name w:val="SectionTitle"/>
    <w:basedOn w:val="Normal"/>
    <w:next w:val="Heading1"/>
    <w:rsid w:val="00851031"/>
    <w:pPr>
      <w:keepNext/>
      <w:spacing w:after="480"/>
      <w:jc w:val="center"/>
    </w:pPr>
    <w:rPr>
      <w:b/>
      <w:smallCaps/>
      <w:sz w:val="28"/>
    </w:rPr>
  </w:style>
  <w:style w:type="paragraph" w:styleId="TOC1">
    <w:name w:val="toc 1"/>
    <w:basedOn w:val="Normal"/>
    <w:next w:val="Normal"/>
    <w:autoRedefine/>
    <w:uiPriority w:val="39"/>
    <w:rsid w:val="00851031"/>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851031"/>
    <w:pPr>
      <w:tabs>
        <w:tab w:val="left" w:pos="709"/>
        <w:tab w:val="right" w:leader="dot" w:pos="9628"/>
      </w:tabs>
      <w:spacing w:after="80"/>
      <w:ind w:left="709" w:hanging="425"/>
    </w:pPr>
  </w:style>
  <w:style w:type="paragraph" w:styleId="TOC3">
    <w:name w:val="toc 3"/>
    <w:basedOn w:val="Normal"/>
    <w:next w:val="Normal"/>
    <w:autoRedefine/>
    <w:uiPriority w:val="39"/>
    <w:rsid w:val="00851031"/>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851031"/>
    <w:pPr>
      <w:ind w:left="480"/>
    </w:pPr>
    <w:rPr>
      <w:sz w:val="20"/>
    </w:rPr>
  </w:style>
  <w:style w:type="paragraph" w:customStyle="1" w:styleId="AnnexTOC">
    <w:name w:val="AnnexTOC"/>
    <w:basedOn w:val="TOC1"/>
    <w:rsid w:val="00851031"/>
  </w:style>
  <w:style w:type="paragraph" w:customStyle="1" w:styleId="Guidelines1">
    <w:name w:val="Guidelines 1"/>
    <w:basedOn w:val="Normal"/>
    <w:autoRedefine/>
    <w:qFormat/>
    <w:rsid w:val="00851031"/>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851031"/>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rsid w:val="00851031"/>
    <w:pPr>
      <w:spacing w:after="240"/>
      <w:ind w:left="482"/>
    </w:pPr>
  </w:style>
  <w:style w:type="paragraph" w:customStyle="1" w:styleId="Guidelines3">
    <w:name w:val="Guidelines 3"/>
    <w:basedOn w:val="Normal"/>
    <w:next w:val="Normal"/>
    <w:autoRedefine/>
    <w:qFormat/>
    <w:rsid w:val="00851031"/>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851031"/>
    <w:pPr>
      <w:tabs>
        <w:tab w:val="left" w:pos="2161"/>
      </w:tabs>
      <w:spacing w:after="240"/>
      <w:ind w:left="1202"/>
    </w:pPr>
  </w:style>
  <w:style w:type="paragraph" w:customStyle="1" w:styleId="p3">
    <w:name w:val="p3"/>
    <w:basedOn w:val="Normal"/>
    <w:rsid w:val="00851031"/>
    <w:pPr>
      <w:widowControl w:val="0"/>
      <w:tabs>
        <w:tab w:val="left" w:pos="1420"/>
      </w:tabs>
      <w:spacing w:line="260" w:lineRule="atLeast"/>
      <w:ind w:left="360"/>
    </w:pPr>
  </w:style>
  <w:style w:type="paragraph" w:customStyle="1" w:styleId="Guidelines4">
    <w:name w:val="Guidelines 4"/>
    <w:basedOn w:val="Normal"/>
    <w:next w:val="Normal"/>
    <w:autoRedefine/>
    <w:rsid w:val="00851031"/>
    <w:pPr>
      <w:spacing w:before="240" w:after="240"/>
    </w:pPr>
    <w:rPr>
      <w:b/>
      <w:sz w:val="24"/>
    </w:rPr>
  </w:style>
  <w:style w:type="character" w:styleId="Hyperlink">
    <w:name w:val="Hyperlink"/>
    <w:uiPriority w:val="99"/>
    <w:rsid w:val="00851031"/>
    <w:rPr>
      <w:color w:val="0000FF"/>
      <w:u w:val="single"/>
    </w:rPr>
  </w:style>
  <w:style w:type="paragraph" w:customStyle="1" w:styleId="References">
    <w:name w:val="References"/>
    <w:basedOn w:val="Normal"/>
    <w:next w:val="Normal"/>
    <w:rsid w:val="00851031"/>
    <w:pPr>
      <w:spacing w:after="240"/>
      <w:ind w:left="5103"/>
    </w:pPr>
    <w:rPr>
      <w:sz w:val="20"/>
    </w:rPr>
  </w:style>
  <w:style w:type="paragraph" w:styleId="FootnoteText">
    <w:name w:val="footnote text"/>
    <w:basedOn w:val="Normal"/>
    <w:link w:val="FootnoteTextChar"/>
    <w:uiPriority w:val="99"/>
    <w:qFormat/>
    <w:rsid w:val="00851031"/>
    <w:pPr>
      <w:spacing w:before="120" w:after="0"/>
      <w:ind w:left="284" w:hanging="284"/>
    </w:pPr>
    <w:rPr>
      <w:sz w:val="20"/>
    </w:rPr>
  </w:style>
  <w:style w:type="character" w:customStyle="1" w:styleId="FootnoteTextChar">
    <w:name w:val="Footnote Text Char"/>
    <w:basedOn w:val="DefaultParagraphFont"/>
    <w:link w:val="FootnoteText"/>
    <w:uiPriority w:val="99"/>
    <w:rsid w:val="00851031"/>
    <w:rPr>
      <w:rFonts w:ascii="Times New Roman" w:eastAsia="Times New Roman" w:hAnsi="Times New Roman" w:cs="Times New Roman"/>
      <w:snapToGrid w:val="0"/>
      <w:sz w:val="20"/>
      <w:szCs w:val="20"/>
      <w:lang w:val="en-GB"/>
    </w:rPr>
  </w:style>
  <w:style w:type="paragraph" w:styleId="Header">
    <w:name w:val="header"/>
    <w:basedOn w:val="Normal"/>
    <w:link w:val="HeaderChar"/>
    <w:rsid w:val="00851031"/>
    <w:pPr>
      <w:tabs>
        <w:tab w:val="center" w:pos="4153"/>
        <w:tab w:val="right" w:pos="8306"/>
      </w:tabs>
      <w:spacing w:after="240"/>
    </w:pPr>
  </w:style>
  <w:style w:type="character" w:customStyle="1" w:styleId="HeaderChar">
    <w:name w:val="Header Char"/>
    <w:basedOn w:val="DefaultParagraphFont"/>
    <w:link w:val="Header"/>
    <w:rsid w:val="00851031"/>
    <w:rPr>
      <w:rFonts w:ascii="Times New Roman" w:eastAsia="Times New Roman" w:hAnsi="Times New Roman" w:cs="Times New Roman"/>
      <w:snapToGrid w:val="0"/>
      <w:szCs w:val="20"/>
      <w:lang w:val="en-GB"/>
    </w:rPr>
  </w:style>
  <w:style w:type="character" w:styleId="PageNumber">
    <w:name w:val="page number"/>
    <w:basedOn w:val="DefaultParagraphFont"/>
    <w:rsid w:val="00851031"/>
  </w:style>
  <w:style w:type="paragraph" w:styleId="Footer">
    <w:name w:val="footer"/>
    <w:basedOn w:val="Normal"/>
    <w:link w:val="FooterChar"/>
    <w:rsid w:val="00851031"/>
    <w:pPr>
      <w:ind w:right="-567"/>
    </w:pPr>
    <w:rPr>
      <w:rFonts w:ascii="Arial" w:hAnsi="Arial"/>
      <w:sz w:val="16"/>
    </w:rPr>
  </w:style>
  <w:style w:type="character" w:customStyle="1" w:styleId="FooterChar">
    <w:name w:val="Footer Char"/>
    <w:basedOn w:val="DefaultParagraphFont"/>
    <w:link w:val="Footer"/>
    <w:rsid w:val="00851031"/>
    <w:rPr>
      <w:rFonts w:ascii="Arial" w:eastAsia="Times New Roman" w:hAnsi="Arial" w:cs="Times New Roman"/>
      <w:snapToGrid w:val="0"/>
      <w:sz w:val="16"/>
      <w:szCs w:val="20"/>
      <w:lang w:val="en-GB"/>
    </w:rPr>
  </w:style>
  <w:style w:type="paragraph" w:customStyle="1" w:styleId="Style0">
    <w:name w:val="Style0"/>
    <w:rsid w:val="00851031"/>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851031"/>
    <w:pPr>
      <w:tabs>
        <w:tab w:val="left" w:pos="2302"/>
      </w:tabs>
      <w:spacing w:after="240"/>
      <w:ind w:left="1202"/>
    </w:pPr>
  </w:style>
  <w:style w:type="paragraph" w:styleId="BodyTextIndent">
    <w:name w:val="Body Text Indent"/>
    <w:basedOn w:val="Normal"/>
    <w:link w:val="BodyTextIndentChar"/>
    <w:rsid w:val="00851031"/>
  </w:style>
  <w:style w:type="character" w:customStyle="1" w:styleId="BodyTextIndentChar">
    <w:name w:val="Body Text Indent Char"/>
    <w:basedOn w:val="DefaultParagraphFont"/>
    <w:link w:val="BodyTextIndent"/>
    <w:rsid w:val="00851031"/>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851031"/>
    <w:pPr>
      <w:ind w:left="720"/>
    </w:pPr>
    <w:rPr>
      <w:sz w:val="20"/>
    </w:rPr>
  </w:style>
  <w:style w:type="paragraph" w:styleId="TOC6">
    <w:name w:val="toc 6"/>
    <w:basedOn w:val="Normal"/>
    <w:next w:val="Normal"/>
    <w:autoRedefine/>
    <w:semiHidden/>
    <w:rsid w:val="00851031"/>
    <w:pPr>
      <w:ind w:left="960"/>
    </w:pPr>
    <w:rPr>
      <w:sz w:val="20"/>
    </w:rPr>
  </w:style>
  <w:style w:type="paragraph" w:styleId="TOC7">
    <w:name w:val="toc 7"/>
    <w:basedOn w:val="Normal"/>
    <w:next w:val="Normal"/>
    <w:autoRedefine/>
    <w:semiHidden/>
    <w:rsid w:val="00851031"/>
    <w:pPr>
      <w:ind w:left="1200"/>
    </w:pPr>
    <w:rPr>
      <w:sz w:val="20"/>
    </w:rPr>
  </w:style>
  <w:style w:type="paragraph" w:styleId="TOC8">
    <w:name w:val="toc 8"/>
    <w:basedOn w:val="Normal"/>
    <w:next w:val="Normal"/>
    <w:autoRedefine/>
    <w:semiHidden/>
    <w:rsid w:val="00851031"/>
    <w:pPr>
      <w:ind w:left="1440"/>
    </w:pPr>
    <w:rPr>
      <w:sz w:val="20"/>
    </w:rPr>
  </w:style>
  <w:style w:type="paragraph" w:styleId="TOC9">
    <w:name w:val="toc 9"/>
    <w:basedOn w:val="Normal"/>
    <w:next w:val="Normal"/>
    <w:autoRedefine/>
    <w:semiHidden/>
    <w:rsid w:val="00851031"/>
    <w:pPr>
      <w:ind w:left="1680"/>
    </w:pPr>
    <w:rPr>
      <w:sz w:val="20"/>
    </w:rPr>
  </w:style>
  <w:style w:type="character" w:styleId="FollowedHyperlink">
    <w:name w:val="FollowedHyperlink"/>
    <w:rsid w:val="00851031"/>
    <w:rPr>
      <w:color w:val="800080"/>
      <w:u w:val="single"/>
    </w:rPr>
  </w:style>
  <w:style w:type="paragraph" w:customStyle="1" w:styleId="NumPar2">
    <w:name w:val="NumPar 2"/>
    <w:basedOn w:val="Heading2"/>
    <w:next w:val="Text2"/>
    <w:rsid w:val="00851031"/>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851031"/>
    <w:pPr>
      <w:numPr>
        <w:numId w:val="2"/>
      </w:numPr>
      <w:spacing w:after="240"/>
    </w:pPr>
    <w:rPr>
      <w:lang w:val="fr-FR"/>
    </w:rPr>
  </w:style>
  <w:style w:type="paragraph" w:styleId="ListBullet">
    <w:name w:val="List Bullet"/>
    <w:basedOn w:val="Normal"/>
    <w:link w:val="ListBulletChar"/>
    <w:rsid w:val="00851031"/>
    <w:pPr>
      <w:numPr>
        <w:numId w:val="8"/>
      </w:numPr>
      <w:spacing w:after="240"/>
    </w:pPr>
    <w:rPr>
      <w:snapToGrid/>
      <w:lang w:eastAsia="en-GB"/>
    </w:rPr>
  </w:style>
  <w:style w:type="character" w:customStyle="1" w:styleId="ListBulletChar">
    <w:name w:val="List Bullet Char"/>
    <w:link w:val="ListBullet"/>
    <w:rsid w:val="00851031"/>
    <w:rPr>
      <w:rFonts w:ascii="Times New Roman" w:eastAsia="Times New Roman" w:hAnsi="Times New Roman" w:cs="Times New Roman"/>
      <w:szCs w:val="20"/>
      <w:lang w:val="en-GB" w:eastAsia="en-GB"/>
    </w:rPr>
  </w:style>
  <w:style w:type="paragraph" w:customStyle="1" w:styleId="TOC30">
    <w:name w:val="TOC3"/>
    <w:basedOn w:val="Normal"/>
    <w:rsid w:val="00851031"/>
  </w:style>
  <w:style w:type="paragraph" w:customStyle="1" w:styleId="ListDash2">
    <w:name w:val="List Dash 2"/>
    <w:basedOn w:val="Text2"/>
    <w:rsid w:val="00851031"/>
    <w:pPr>
      <w:numPr>
        <w:numId w:val="9"/>
      </w:numPr>
      <w:tabs>
        <w:tab w:val="clear" w:pos="2161"/>
      </w:tabs>
    </w:pPr>
    <w:rPr>
      <w:snapToGrid/>
    </w:rPr>
  </w:style>
  <w:style w:type="table" w:styleId="TableGrid">
    <w:name w:val="Table Grid"/>
    <w:basedOn w:val="TableNormal"/>
    <w:uiPriority w:val="39"/>
    <w:rsid w:val="00851031"/>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51031"/>
    <w:pPr>
      <w:spacing w:before="120" w:after="120"/>
      <w:jc w:val="center"/>
    </w:pPr>
    <w:rPr>
      <w:rFonts w:ascii="Arial" w:hAnsi="Arial"/>
      <w:b/>
      <w:sz w:val="28"/>
      <w:lang w:val="fr-BE"/>
    </w:rPr>
  </w:style>
  <w:style w:type="character" w:customStyle="1" w:styleId="SubtitleChar">
    <w:name w:val="Subtitle Char"/>
    <w:basedOn w:val="DefaultParagraphFont"/>
    <w:link w:val="Subtitle"/>
    <w:rsid w:val="00851031"/>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851031"/>
    <w:pPr>
      <w:spacing w:after="120"/>
    </w:pPr>
  </w:style>
  <w:style w:type="character" w:customStyle="1" w:styleId="StyleListBullet11ptChar">
    <w:name w:val="Style List Bullet + 11 pt Char"/>
    <w:link w:val="StyleListBullet11pt"/>
    <w:rsid w:val="00851031"/>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851031"/>
    <w:rPr>
      <w:sz w:val="20"/>
    </w:rPr>
  </w:style>
  <w:style w:type="character" w:customStyle="1" w:styleId="CommentTextChar">
    <w:name w:val="Comment Text Char"/>
    <w:basedOn w:val="DefaultParagraphFont"/>
    <w:link w:val="CommentText"/>
    <w:uiPriority w:val="99"/>
    <w:rsid w:val="00851031"/>
    <w:rPr>
      <w:rFonts w:ascii="Times New Roman" w:eastAsia="Times New Roman" w:hAnsi="Times New Roman" w:cs="Times New Roman"/>
      <w:snapToGrid w:val="0"/>
      <w:sz w:val="20"/>
      <w:szCs w:val="20"/>
      <w:lang w:val="en-GB"/>
    </w:rPr>
  </w:style>
  <w:style w:type="paragraph" w:styleId="CommentSubject">
    <w:name w:val="annotation subject"/>
    <w:basedOn w:val="Normal"/>
    <w:link w:val="CommentSubjectChar"/>
    <w:semiHidden/>
    <w:rsid w:val="00851031"/>
    <w:rPr>
      <w:b/>
      <w:bCs/>
      <w:sz w:val="20"/>
    </w:rPr>
  </w:style>
  <w:style w:type="character" w:customStyle="1" w:styleId="CommentSubjectChar">
    <w:name w:val="Comment Subject Char"/>
    <w:basedOn w:val="CommentTextChar"/>
    <w:link w:val="CommentSubject"/>
    <w:semiHidden/>
    <w:rsid w:val="00851031"/>
    <w:rPr>
      <w:rFonts w:ascii="Times New Roman" w:eastAsia="Times New Roman" w:hAnsi="Times New Roman" w:cs="Times New Roman"/>
      <w:b/>
      <w:bCs/>
      <w:snapToGrid w:val="0"/>
      <w:sz w:val="20"/>
      <w:szCs w:val="20"/>
      <w:lang w:val="en-GB"/>
    </w:rPr>
  </w:style>
  <w:style w:type="character" w:customStyle="1" w:styleId="Style11pt">
    <w:name w:val="Style 11 pt"/>
    <w:rsid w:val="00851031"/>
    <w:rPr>
      <w:sz w:val="22"/>
    </w:rPr>
  </w:style>
  <w:style w:type="paragraph" w:customStyle="1" w:styleId="ListDash">
    <w:name w:val="List Dash"/>
    <w:basedOn w:val="Normal"/>
    <w:rsid w:val="00851031"/>
    <w:pPr>
      <w:numPr>
        <w:numId w:val="10"/>
      </w:numPr>
      <w:spacing w:after="240"/>
    </w:pPr>
    <w:rPr>
      <w:snapToGrid/>
      <w:lang w:val="fr-FR"/>
    </w:rPr>
  </w:style>
  <w:style w:type="paragraph" w:customStyle="1" w:styleId="Style11ptJustifiedAfter6pt">
    <w:name w:val="Style 11 pt Justified After:  6 pt"/>
    <w:basedOn w:val="Normal"/>
    <w:rsid w:val="00851031"/>
    <w:pPr>
      <w:spacing w:after="120"/>
    </w:pPr>
    <w:rPr>
      <w:snapToGrid/>
      <w:szCs w:val="22"/>
      <w:lang w:eastAsia="en-GB"/>
    </w:rPr>
  </w:style>
  <w:style w:type="paragraph" w:styleId="ListNumber2">
    <w:name w:val="List Number 2"/>
    <w:basedOn w:val="Text2"/>
    <w:rsid w:val="00851031"/>
    <w:pPr>
      <w:numPr>
        <w:numId w:val="11"/>
      </w:numPr>
      <w:tabs>
        <w:tab w:val="clear" w:pos="2161"/>
      </w:tabs>
    </w:pPr>
    <w:rPr>
      <w:snapToGrid/>
    </w:rPr>
  </w:style>
  <w:style w:type="paragraph" w:customStyle="1" w:styleId="ListNumber2Level2">
    <w:name w:val="List Number 2 (Level 2)"/>
    <w:basedOn w:val="Text2"/>
    <w:rsid w:val="00851031"/>
    <w:pPr>
      <w:numPr>
        <w:ilvl w:val="1"/>
        <w:numId w:val="11"/>
      </w:numPr>
      <w:tabs>
        <w:tab w:val="clear" w:pos="2161"/>
      </w:tabs>
    </w:pPr>
    <w:rPr>
      <w:snapToGrid/>
    </w:rPr>
  </w:style>
  <w:style w:type="paragraph" w:customStyle="1" w:styleId="ListNumber2Level3">
    <w:name w:val="List Number 2 (Level 3)"/>
    <w:basedOn w:val="Text2"/>
    <w:rsid w:val="00851031"/>
    <w:pPr>
      <w:numPr>
        <w:ilvl w:val="2"/>
        <w:numId w:val="11"/>
      </w:numPr>
      <w:tabs>
        <w:tab w:val="clear" w:pos="2161"/>
      </w:tabs>
    </w:pPr>
    <w:rPr>
      <w:snapToGrid/>
    </w:rPr>
  </w:style>
  <w:style w:type="paragraph" w:customStyle="1" w:styleId="ListNumber2Level4">
    <w:name w:val="List Number 2 (Level 4)"/>
    <w:basedOn w:val="Text2"/>
    <w:rsid w:val="00851031"/>
    <w:pPr>
      <w:numPr>
        <w:ilvl w:val="3"/>
        <w:numId w:val="11"/>
      </w:numPr>
      <w:tabs>
        <w:tab w:val="clear" w:pos="2161"/>
      </w:tabs>
    </w:pPr>
    <w:rPr>
      <w:snapToGrid/>
    </w:rPr>
  </w:style>
  <w:style w:type="character" w:styleId="Strong">
    <w:name w:val="Strong"/>
    <w:qFormat/>
    <w:rsid w:val="00851031"/>
    <w:rPr>
      <w:b/>
      <w:bCs/>
    </w:rPr>
  </w:style>
  <w:style w:type="paragraph" w:customStyle="1" w:styleId="ColorfulShading-Accent11">
    <w:name w:val="Colorful Shading - Accent 11"/>
    <w:hidden/>
    <w:uiPriority w:val="99"/>
    <w:semiHidden/>
    <w:rsid w:val="00851031"/>
    <w:pPr>
      <w:spacing w:after="0" w:line="240" w:lineRule="auto"/>
    </w:pPr>
    <w:rPr>
      <w:rFonts w:ascii="Times New Roman" w:eastAsia="Times New Roman" w:hAnsi="Times New Roman" w:cs="Times New Roman"/>
      <w:snapToGrid w:val="0"/>
      <w:sz w:val="24"/>
      <w:szCs w:val="20"/>
      <w:lang w:val="en-GB"/>
    </w:rPr>
  </w:style>
  <w:style w:type="paragraph" w:customStyle="1" w:styleId="ColorfulList-Accent11">
    <w:name w:val="Colorful List - Accent 11"/>
    <w:basedOn w:val="Normal"/>
    <w:uiPriority w:val="34"/>
    <w:rsid w:val="00851031"/>
    <w:pPr>
      <w:ind w:left="708"/>
    </w:pPr>
  </w:style>
  <w:style w:type="paragraph" w:styleId="TOAHeading">
    <w:name w:val="toa heading"/>
    <w:basedOn w:val="Normal"/>
    <w:next w:val="Normal"/>
    <w:rsid w:val="00851031"/>
    <w:pPr>
      <w:spacing w:before="120"/>
    </w:pPr>
    <w:rPr>
      <w:rFonts w:ascii="Cambria" w:hAnsi="Cambria"/>
      <w:b/>
      <w:bCs/>
      <w:szCs w:val="24"/>
    </w:rPr>
  </w:style>
  <w:style w:type="character" w:styleId="FootnoteReference">
    <w:name w:val="footnote reference"/>
    <w:link w:val="Char2"/>
    <w:uiPriority w:val="99"/>
    <w:qFormat/>
    <w:rsid w:val="00851031"/>
    <w:rPr>
      <w:sz w:val="24"/>
      <w:vertAlign w:val="superscript"/>
    </w:rPr>
  </w:style>
  <w:style w:type="paragraph" w:styleId="BalloonText">
    <w:name w:val="Balloon Text"/>
    <w:basedOn w:val="Normal"/>
    <w:link w:val="BalloonTextChar"/>
    <w:rsid w:val="00851031"/>
    <w:pPr>
      <w:spacing w:after="0"/>
    </w:pPr>
    <w:rPr>
      <w:rFonts w:ascii="Tahoma" w:hAnsi="Tahoma" w:cs="Tahoma"/>
      <w:sz w:val="16"/>
      <w:szCs w:val="16"/>
    </w:rPr>
  </w:style>
  <w:style w:type="character" w:customStyle="1" w:styleId="BalloonTextChar">
    <w:name w:val="Balloon Text Char"/>
    <w:basedOn w:val="DefaultParagraphFont"/>
    <w:link w:val="BalloonText"/>
    <w:rsid w:val="00851031"/>
    <w:rPr>
      <w:rFonts w:ascii="Tahoma" w:eastAsia="Times New Roman" w:hAnsi="Tahoma" w:cs="Tahoma"/>
      <w:snapToGrid w:val="0"/>
      <w:sz w:val="16"/>
      <w:szCs w:val="16"/>
      <w:lang w:val="en-GB"/>
    </w:rPr>
  </w:style>
  <w:style w:type="character" w:styleId="CommentReference">
    <w:name w:val="annotation reference"/>
    <w:uiPriority w:val="99"/>
    <w:rsid w:val="00851031"/>
    <w:rPr>
      <w:sz w:val="16"/>
      <w:szCs w:val="16"/>
    </w:rPr>
  </w:style>
  <w:style w:type="paragraph" w:customStyle="1" w:styleId="Char2">
    <w:name w:val="Char2"/>
    <w:basedOn w:val="Normal"/>
    <w:link w:val="FootnoteReference"/>
    <w:uiPriority w:val="99"/>
    <w:rsid w:val="00851031"/>
    <w:pPr>
      <w:spacing w:before="120" w:after="160" w:line="240" w:lineRule="exact"/>
      <w:jc w:val="left"/>
    </w:pPr>
    <w:rPr>
      <w:rFonts w:asciiTheme="minorHAnsi" w:eastAsiaTheme="minorHAnsi" w:hAnsiTheme="minorHAnsi" w:cstheme="minorBidi"/>
      <w:snapToGrid/>
      <w:sz w:val="24"/>
      <w:szCs w:val="22"/>
      <w:vertAlign w:val="superscript"/>
      <w:lang w:val="en-US"/>
    </w:rPr>
  </w:style>
  <w:style w:type="paragraph" w:customStyle="1" w:styleId="Default">
    <w:name w:val="Default"/>
    <w:rsid w:val="00851031"/>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aliases w:val="Bullets,List Paragraph1,List Bulet,List Bullet Mary,COMESA Text 2,Standard 12 pt,Numbered List Paragraph,ReferencesCxSpLast,List Paragraph (numbered (a)),List Paragraph nowy,Liste 1,Citation List,Bullet Points,Liste Paragraf,Ha"/>
    <w:basedOn w:val="Normal"/>
    <w:link w:val="ListParagraphChar"/>
    <w:uiPriority w:val="34"/>
    <w:qFormat/>
    <w:rsid w:val="00851031"/>
    <w:pPr>
      <w:spacing w:after="120"/>
      <w:ind w:left="720"/>
      <w:jc w:val="left"/>
    </w:pPr>
    <w:rPr>
      <w:snapToGrid/>
      <w:sz w:val="24"/>
      <w:szCs w:val="24"/>
      <w:lang w:val="en-US"/>
    </w:rPr>
  </w:style>
  <w:style w:type="character" w:customStyle="1" w:styleId="ListParagraphChar">
    <w:name w:val="List Paragraph Char"/>
    <w:aliases w:val="Bullets Char,List Paragraph1 Char,List Bulet Char,List Bullet Mary Char,COMESA Text 2 Char,Standard 12 pt Char,Numbered List Paragraph Char,ReferencesCxSpLast Char,List Paragraph (numbered (a)) Char,List Paragraph nowy Char,Ha Char"/>
    <w:link w:val="ListParagraph"/>
    <w:uiPriority w:val="34"/>
    <w:locked/>
    <w:rsid w:val="008510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ccaplusgrants@sadc.i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c.europa.eu/europeaid/funding/communication-and-visibility-manual-eu-external-actions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86863786653@zoomcr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us02web.zoom.us/j/86863786653?pwd=SHp4TFpLMS9ac29VVWp3akd4ck1SQT09"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gccaplusgrant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8821</Words>
  <Characters>50284</Characters>
  <Application>Microsoft Office Word</Application>
  <DocSecurity>0</DocSecurity>
  <Lines>419</Lines>
  <Paragraphs>117</Paragraphs>
  <ScaleCrop>false</ScaleCrop>
  <Company>Hewlett-Packard Company</Company>
  <LinksUpToDate>false</LinksUpToDate>
  <CharactersWithSpaces>58988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5</cp:revision>
  <dcterms:created xsi:type="dcterms:W3CDTF">2020-12-07T06:44:00Z</dcterms:created>
  <dcterms:modified xsi:type="dcterms:W3CDTF">2020-12-07T11:05:00Z</dcterms:modified>
</cp:coreProperties>
</file>